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DDAA1" w14:textId="77777777" w:rsidR="00D951BD" w:rsidRDefault="00000000">
      <w:pPr>
        <w:jc w:val="both"/>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 xml:space="preserve">TOBB Economics and Technology University                                                                    </w:t>
      </w:r>
    </w:p>
    <w:p w14:paraId="78B9498C" w14:textId="77777777" w:rsidR="00D951BD" w:rsidRDefault="00000000">
      <w:pPr>
        <w:jc w:val="both"/>
        <w:rPr>
          <w:rFonts w:ascii="Times New Roman" w:eastAsia="Times New Roman" w:hAnsi="Times New Roman" w:cs="Times New Roman"/>
          <w:b/>
          <w:bCs/>
        </w:rPr>
      </w:pPr>
      <w:r>
        <w:rPr>
          <w:rFonts w:ascii="Times New Roman" w:eastAsia="Times New Roman" w:hAnsi="Times New Roman" w:cs="Times New Roman"/>
          <w:b/>
          <w:bCs/>
          <w:color w:val="222222"/>
          <w:highlight w:val="white"/>
        </w:rPr>
        <w:t xml:space="preserve">in cooperation with Humboldt University &amp; Rakovski National </w:t>
      </w:r>
      <w:proofErr w:type="spellStart"/>
      <w:r>
        <w:rPr>
          <w:rFonts w:ascii="Times New Roman" w:eastAsia="Times New Roman" w:hAnsi="Times New Roman" w:cs="Times New Roman"/>
          <w:b/>
          <w:bCs/>
          <w:color w:val="222222"/>
          <w:highlight w:val="white"/>
        </w:rPr>
        <w:t>Defence</w:t>
      </w:r>
      <w:proofErr w:type="spellEnd"/>
      <w:r>
        <w:rPr>
          <w:rFonts w:ascii="Times New Roman" w:eastAsia="Times New Roman" w:hAnsi="Times New Roman" w:cs="Times New Roman"/>
          <w:b/>
          <w:bCs/>
          <w:color w:val="222222"/>
          <w:highlight w:val="white"/>
        </w:rPr>
        <w:t xml:space="preserve"> College &amp; </w:t>
      </w:r>
      <w:r>
        <w:rPr>
          <w:rFonts w:ascii="Times New Roman" w:eastAsia="Times New Roman" w:hAnsi="Times New Roman" w:cs="Times New Roman"/>
          <w:b/>
          <w:bCs/>
        </w:rPr>
        <w:t>University of Macedonia &amp; Vilnius Business College &amp; Pisa University</w:t>
      </w:r>
    </w:p>
    <w:p w14:paraId="774771D2" w14:textId="77777777" w:rsidR="00D951BD" w:rsidRDefault="00000000">
      <w:pPr>
        <w:jc w:val="both"/>
        <w:rPr>
          <w:rFonts w:ascii="Times New Roman" w:eastAsia="Times New Roman" w:hAnsi="Times New Roman" w:cs="Times New Roman"/>
          <w:b/>
          <w:bCs/>
          <w:color w:val="222222"/>
          <w:sz w:val="28"/>
          <w:szCs w:val="28"/>
          <w:highlight w:val="white"/>
        </w:rPr>
      </w:pPr>
      <w:r>
        <w:rPr>
          <w:rFonts w:ascii="Times New Roman" w:eastAsia="Times New Roman" w:hAnsi="Times New Roman" w:cs="Times New Roman"/>
          <w:b/>
          <w:bCs/>
          <w:color w:val="222222"/>
          <w:sz w:val="28"/>
          <w:szCs w:val="28"/>
          <w:highlight w:val="white"/>
        </w:rPr>
        <w:t>ERASMUS Blended Intensive Program (BIP) Syllabus for 6 ECTS</w:t>
      </w:r>
    </w:p>
    <w:p w14:paraId="0AE69022"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A343228" w14:textId="77777777" w:rsidR="00D951BD" w:rsidRDefault="00000000">
      <w:pPr>
        <w:jc w:val="both"/>
        <w:rPr>
          <w:rFonts w:ascii="Times New Roman" w:eastAsia="Times New Roman" w:hAnsi="Times New Roman" w:cs="Times New Roman"/>
          <w:b/>
          <w:bCs/>
          <w:color w:val="222222"/>
          <w:sz w:val="38"/>
          <w:szCs w:val="38"/>
          <w:highlight w:val="white"/>
        </w:rPr>
      </w:pPr>
      <w:r>
        <w:rPr>
          <w:rFonts w:ascii="Times New Roman" w:eastAsia="Times New Roman" w:hAnsi="Times New Roman" w:cs="Times New Roman"/>
          <w:b/>
          <w:bCs/>
          <w:color w:val="222222"/>
          <w:sz w:val="38"/>
          <w:szCs w:val="38"/>
          <w:highlight w:val="white"/>
        </w:rPr>
        <w:t>ULU 540 International Relations of the Middle East</w:t>
      </w:r>
    </w:p>
    <w:p w14:paraId="4F74FF26" w14:textId="77777777" w:rsidR="00D951BD" w:rsidRDefault="00000000">
      <w:pPr>
        <w:jc w:val="both"/>
        <w:rPr>
          <w:rFonts w:ascii="Times New Roman" w:eastAsia="Times New Roman" w:hAnsi="Times New Roman" w:cs="Times New Roman"/>
          <w:color w:val="1155CC"/>
          <w:highlight w:val="white"/>
        </w:rPr>
      </w:pPr>
      <w:r>
        <w:rPr>
          <w:rFonts w:ascii="Times New Roman" w:eastAsia="Times New Roman" w:hAnsi="Times New Roman" w:cs="Times New Roman"/>
          <w:b/>
          <w:bCs/>
          <w:color w:val="222222"/>
          <w:highlight w:val="white"/>
        </w:rPr>
        <w:t xml:space="preserve">by Prof Dr Haldun YALÇINKAYA </w:t>
      </w:r>
      <w:r>
        <w:rPr>
          <w:rFonts w:ascii="Times New Roman" w:eastAsia="Times New Roman" w:hAnsi="Times New Roman" w:cs="Times New Roman"/>
          <w:color w:val="1155CC"/>
          <w:highlight w:val="white"/>
        </w:rPr>
        <w:t>haldun@etu.edu.tr</w:t>
      </w:r>
    </w:p>
    <w:p w14:paraId="566D2DBE"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580C32B" w14:textId="77777777" w:rsidR="00D951BD" w:rsidRDefault="00000000">
      <w:pPr>
        <w:ind w:left="2880" w:firstLine="720"/>
        <w:jc w:val="center"/>
        <w:rPr>
          <w:rFonts w:ascii="Times New Roman" w:eastAsia="Times New Roman" w:hAnsi="Times New Roman" w:cs="Times New Roman"/>
          <w:b/>
          <w:bCs/>
          <w:color w:val="222222"/>
          <w:highlight w:val="white"/>
        </w:rPr>
      </w:pPr>
      <w:r>
        <w:rPr>
          <w:rFonts w:ascii="Times New Roman" w:eastAsia="Times New Roman" w:hAnsi="Times New Roman" w:cs="Times New Roman"/>
          <w:b/>
          <w:bCs/>
          <w:color w:val="222222"/>
          <w:highlight w:val="white"/>
        </w:rPr>
        <w:t xml:space="preserve">Summer 2026 </w:t>
      </w:r>
    </w:p>
    <w:p w14:paraId="27CC06BD"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92B4A63" w14:textId="77777777" w:rsidR="00D951BD" w:rsidRDefault="00000000">
      <w:pPr>
        <w:ind w:left="50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Online dates 27 April - 6 May 2026</w:t>
      </w:r>
    </w:p>
    <w:p w14:paraId="6CD1ADF9" w14:textId="77777777" w:rsidR="00D951BD" w:rsidRDefault="00000000">
      <w:pPr>
        <w:ind w:left="50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In-person dates in Bodrum 10-16 May 2026</w:t>
      </w:r>
    </w:p>
    <w:p w14:paraId="430C2CE2" w14:textId="77777777" w:rsidR="00D951BD" w:rsidRDefault="00000000">
      <w:pPr>
        <w:ind w:left="50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Paper Submission date 11 June 2026</w:t>
      </w:r>
    </w:p>
    <w:p w14:paraId="4522A481"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D0DD0DD" w14:textId="77777777" w:rsidR="00D951BD"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76128C9E" w14:textId="77777777" w:rsidR="00D951BD"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40A97D8A"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This course will provide students with a comprehensive understanding of modern Middle Eastern politics.  By looking at the critical historical turning points, as well as current developments and debates, the course aims to discuss the regional and international politics of the region. The course will focus on the Middle Eastern regional order, regional conflicts, alliances, wars, and peace-making as well as the state-society dynamics. The course will cover the Arab world, Iran, and Israel.</w:t>
      </w:r>
    </w:p>
    <w:p w14:paraId="4141DF70" w14:textId="77777777" w:rsidR="00D951BD"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This course is mainly for International Relations, Political Science, and Middle Eastern Studies majors and students of Social Sciences. Yet, there is no prerequisite for the course and students with different backgrounds can take the course. </w:t>
      </w:r>
    </w:p>
    <w:p w14:paraId="1725B065" w14:textId="77777777" w:rsidR="00D951BD"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course is at the </w:t>
      </w:r>
      <w:proofErr w:type="gramStart"/>
      <w:r>
        <w:rPr>
          <w:rFonts w:ascii="Times New Roman" w:eastAsia="Times New Roman" w:hAnsi="Times New Roman" w:cs="Times New Roman"/>
          <w:color w:val="222222"/>
        </w:rPr>
        <w:t>Master's</w:t>
      </w:r>
      <w:proofErr w:type="gramEnd"/>
      <w:r>
        <w:rPr>
          <w:rFonts w:ascii="Times New Roman" w:eastAsia="Times New Roman" w:hAnsi="Times New Roman" w:cs="Times New Roman"/>
          <w:color w:val="222222"/>
        </w:rPr>
        <w:t xml:space="preserve"> level yet undergraduate students with a GPA of 3.00 and above can take the course. PhD students are especially welcome as one-to-one office hours with lecturers can be arranged to discuss thesis work. All students must have sufficient English language level (B1). </w:t>
      </w:r>
    </w:p>
    <w:p w14:paraId="1BECCAF7" w14:textId="77777777" w:rsidR="00D951BD"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A list of required and suggested readings will be provided for students. The course will also discuss and use examples of literature, documentaries, and movies within the context of regional developments. </w:t>
      </w:r>
    </w:p>
    <w:p w14:paraId="66332904"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Objectives</w:t>
      </w:r>
    </w:p>
    <w:p w14:paraId="53B95CA3" w14:textId="77777777" w:rsidR="00D951BD"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objective of this course is to provide students with the analytical perspective and essential knowledge to understand the major actors, issues, and processes of Middle East politics. The course aims at supporting the students in their academic work and further their research projects and ideas.  </w:t>
      </w:r>
    </w:p>
    <w:p w14:paraId="0923BF6C"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Learning Outcomes</w:t>
      </w:r>
    </w:p>
    <w:p w14:paraId="3B733C6B" w14:textId="77777777" w:rsidR="00D951BD"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222222"/>
        </w:rPr>
        <w:t>By the end of the course students will get acquainted with the major themes of Middle East politics which encompasses a broad spectrum of discussions including state formation, war and conflict, political economy, identity, authoritarianism, and democratization as well as foreign policies of regional and extra-regional actors in the making of the Middle East.</w:t>
      </w:r>
    </w:p>
    <w:p w14:paraId="4EE1B8D3" w14:textId="77777777" w:rsidR="00D951BD"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447C5C55"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b/>
          <w:bCs/>
          <w:color w:val="222222"/>
        </w:rPr>
        <w:t xml:space="preserve">Content: </w:t>
      </w:r>
      <w:r>
        <w:rPr>
          <w:rFonts w:ascii="Times New Roman" w:eastAsia="Times New Roman" w:hAnsi="Times New Roman" w:cs="Times New Roman"/>
        </w:rPr>
        <w:t>Courses: 21 hours online and 21 hours in person</w:t>
      </w:r>
    </w:p>
    <w:p w14:paraId="71EEEF02"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 </w:t>
      </w:r>
    </w:p>
    <w:p w14:paraId="76542086"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 </w:t>
      </w:r>
    </w:p>
    <w:p w14:paraId="1470BE2D"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 </w:t>
      </w:r>
    </w:p>
    <w:p w14:paraId="443C83D0"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lastRenderedPageBreak/>
        <w:t xml:space="preserve"> </w:t>
      </w:r>
    </w:p>
    <w:p w14:paraId="609996A1"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 </w:t>
      </w:r>
    </w:p>
    <w:p w14:paraId="7F34970B"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 </w:t>
      </w:r>
    </w:p>
    <w:p w14:paraId="1F938B2B"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 </w:t>
      </w:r>
    </w:p>
    <w:p w14:paraId="7A4EA1FF" w14:textId="77777777" w:rsidR="00D951BD" w:rsidRDefault="00000000">
      <w:pPr>
        <w:jc w:val="both"/>
        <w:rPr>
          <w:rFonts w:ascii="Times New Roman" w:eastAsia="Times New Roman" w:hAnsi="Times New Roman" w:cs="Times New Roman"/>
          <w:b/>
          <w:bCs/>
          <w:color w:val="222222"/>
        </w:rPr>
      </w:pPr>
      <w:r>
        <w:rPr>
          <w:rFonts w:ascii="Times New Roman" w:eastAsia="Times New Roman" w:hAnsi="Times New Roman" w:cs="Times New Roman"/>
          <w:b/>
          <w:bCs/>
          <w:color w:val="222222"/>
        </w:rPr>
        <w:t xml:space="preserve"> </w:t>
      </w:r>
    </w:p>
    <w:p w14:paraId="35A9A860" w14:textId="77777777" w:rsidR="00D951BD" w:rsidRDefault="00000000">
      <w:pPr>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 </w:t>
      </w:r>
    </w:p>
    <w:p w14:paraId="48AD4490" w14:textId="77777777" w:rsidR="00D951B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3A2C3269" w14:textId="77777777" w:rsidR="00D951BD" w:rsidRDefault="00000000">
      <w:pPr>
        <w:ind w:firstLine="5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ONLINE SESSIONS </w:t>
      </w:r>
      <w:proofErr w:type="gramStart"/>
      <w:r>
        <w:rPr>
          <w:rFonts w:ascii="Times New Roman" w:eastAsia="Times New Roman" w:hAnsi="Times New Roman" w:cs="Times New Roman"/>
          <w:b/>
          <w:bCs/>
          <w:sz w:val="24"/>
          <w:szCs w:val="24"/>
        </w:rPr>
        <w:t>( 27</w:t>
      </w:r>
      <w:proofErr w:type="gramEnd"/>
      <w:r>
        <w:rPr>
          <w:rFonts w:ascii="Times New Roman" w:eastAsia="Times New Roman" w:hAnsi="Times New Roman" w:cs="Times New Roman"/>
          <w:b/>
          <w:bCs/>
          <w:sz w:val="24"/>
          <w:szCs w:val="24"/>
        </w:rPr>
        <w:t xml:space="preserve"> April – 6 May 2026)</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3"/>
        <w:gridCol w:w="5608"/>
        <w:gridCol w:w="2759"/>
      </w:tblGrid>
      <w:tr w:rsidR="00D951BD" w14:paraId="6E315AF8" w14:textId="77777777">
        <w:trPr>
          <w:trHeight w:val="1455"/>
        </w:trPr>
        <w:tc>
          <w:tcPr>
            <w:tcW w:w="99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C96C7C7"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Date</w:t>
            </w:r>
          </w:p>
        </w:tc>
        <w:tc>
          <w:tcPr>
            <w:tcW w:w="5607" w:type="dxa"/>
            <w:tcBorders>
              <w:top w:val="single" w:sz="8" w:space="0" w:color="000000"/>
              <w:bottom w:val="single" w:sz="8" w:space="0" w:color="000000"/>
              <w:right w:val="single" w:sz="8" w:space="0" w:color="000000"/>
            </w:tcBorders>
            <w:tcMar>
              <w:top w:w="0" w:type="dxa"/>
              <w:left w:w="100" w:type="dxa"/>
              <w:bottom w:w="0" w:type="dxa"/>
              <w:right w:w="100" w:type="dxa"/>
            </w:tcMar>
          </w:tcPr>
          <w:p w14:paraId="4F7AEAC5"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Readings </w:t>
            </w:r>
          </w:p>
          <w:p w14:paraId="398D5A5D"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Online Link for every day</w:t>
            </w:r>
          </w:p>
          <w:p w14:paraId="7ED0709B" w14:textId="77777777" w:rsidR="00D951BD" w:rsidRDefault="00000000">
            <w:pPr>
              <w:rPr>
                <w:rFonts w:ascii="Times New Roman" w:eastAsia="Times New Roman" w:hAnsi="Times New Roman" w:cs="Times New Roman"/>
                <w:color w:val="800080"/>
                <w:u w:val="single"/>
              </w:rPr>
            </w:pPr>
            <w:hyperlink r:id="rId4">
              <w:r>
                <w:rPr>
                  <w:rFonts w:ascii="Times New Roman" w:eastAsia="Times New Roman" w:hAnsi="Times New Roman" w:cs="Times New Roman"/>
                  <w:color w:val="800080"/>
                  <w:u w:val="single"/>
                </w:rPr>
                <w:t>https://tobbetu-edu-tr.zoom.us/meeting/register/fJowSbUMRP2ApixhHbb6_A</w:t>
              </w:r>
            </w:hyperlink>
          </w:p>
          <w:p w14:paraId="1D7CEDCF"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For Türkiye, Bulgaria, Lithuania, Greece: 7.30 PM – 11.00 PM</w:t>
            </w:r>
          </w:p>
          <w:p w14:paraId="5CBBEFA5"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For Germany, </w:t>
            </w:r>
            <w:proofErr w:type="gramStart"/>
            <w:r>
              <w:rPr>
                <w:rFonts w:ascii="Times New Roman" w:eastAsia="Times New Roman" w:hAnsi="Times New Roman" w:cs="Times New Roman"/>
              </w:rPr>
              <w:t>Italy,:</w:t>
            </w:r>
            <w:proofErr w:type="gramEnd"/>
            <w:r>
              <w:rPr>
                <w:rFonts w:ascii="Times New Roman" w:eastAsia="Times New Roman" w:hAnsi="Times New Roman" w:cs="Times New Roman"/>
              </w:rPr>
              <w:t xml:space="preserve"> 6.30 PM – 10.00 PM</w:t>
            </w:r>
          </w:p>
        </w:tc>
        <w:tc>
          <w:tcPr>
            <w:tcW w:w="2759" w:type="dxa"/>
            <w:tcBorders>
              <w:top w:val="single" w:sz="8" w:space="0" w:color="000000"/>
              <w:bottom w:val="single" w:sz="8" w:space="0" w:color="000000"/>
              <w:right w:val="single" w:sz="8" w:space="0" w:color="000000"/>
            </w:tcBorders>
            <w:tcMar>
              <w:top w:w="0" w:type="dxa"/>
              <w:left w:w="100" w:type="dxa"/>
              <w:bottom w:w="0" w:type="dxa"/>
              <w:right w:w="100" w:type="dxa"/>
            </w:tcMar>
          </w:tcPr>
          <w:p w14:paraId="30E577C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Lecturer and Subjects</w:t>
            </w:r>
          </w:p>
        </w:tc>
      </w:tr>
      <w:tr w:rsidR="00D951BD" w14:paraId="6AF3479E" w14:textId="77777777">
        <w:trPr>
          <w:trHeight w:val="1260"/>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7BCD15"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27 April 2026</w:t>
            </w:r>
          </w:p>
        </w:tc>
        <w:tc>
          <w:tcPr>
            <w:tcW w:w="5607" w:type="dxa"/>
            <w:tcBorders>
              <w:bottom w:val="single" w:sz="8" w:space="0" w:color="000000"/>
              <w:right w:val="single" w:sz="8" w:space="0" w:color="000000"/>
            </w:tcBorders>
            <w:tcMar>
              <w:top w:w="0" w:type="dxa"/>
              <w:left w:w="100" w:type="dxa"/>
              <w:bottom w:w="0" w:type="dxa"/>
              <w:right w:w="100" w:type="dxa"/>
            </w:tcMar>
          </w:tcPr>
          <w:p w14:paraId="06779B8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General Framework for the Security of the Modern Middle East</w:t>
            </w:r>
          </w:p>
          <w:p w14:paraId="3596A8D1"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2759" w:type="dxa"/>
            <w:tcBorders>
              <w:bottom w:val="single" w:sz="8" w:space="0" w:color="000000"/>
              <w:right w:val="single" w:sz="8" w:space="0" w:color="000000"/>
            </w:tcBorders>
            <w:tcMar>
              <w:top w:w="0" w:type="dxa"/>
              <w:left w:w="100" w:type="dxa"/>
              <w:bottom w:w="0" w:type="dxa"/>
              <w:right w:w="100" w:type="dxa"/>
            </w:tcMar>
          </w:tcPr>
          <w:p w14:paraId="6FD72FCA" w14:textId="77777777" w:rsidR="00D951BD" w:rsidRDefault="00000000">
            <w:pPr>
              <w:ind w:left="100"/>
              <w:rPr>
                <w:rFonts w:ascii="Times New Roman" w:eastAsia="Times New Roman" w:hAnsi="Times New Roman" w:cs="Times New Roman"/>
                <w:b/>
                <w:bCs/>
                <w:color w:val="222222"/>
              </w:rPr>
            </w:pPr>
            <w:r>
              <w:rPr>
                <w:rFonts w:ascii="Times New Roman" w:eastAsia="Times New Roman" w:hAnsi="Times New Roman" w:cs="Times New Roman"/>
                <w:b/>
                <w:bCs/>
                <w:color w:val="222222"/>
              </w:rPr>
              <w:t>Introduction</w:t>
            </w:r>
          </w:p>
          <w:p w14:paraId="2D515EBB" w14:textId="77777777" w:rsidR="00D951BD" w:rsidRDefault="00000000">
            <w:pPr>
              <w:ind w:left="100"/>
              <w:rPr>
                <w:rFonts w:ascii="Times New Roman" w:eastAsia="Times New Roman" w:hAnsi="Times New Roman" w:cs="Times New Roman"/>
                <w:b/>
                <w:bCs/>
                <w:color w:val="222222"/>
              </w:rPr>
            </w:pPr>
            <w:r>
              <w:rPr>
                <w:rFonts w:ascii="Times New Roman" w:eastAsia="Times New Roman" w:hAnsi="Times New Roman" w:cs="Times New Roman"/>
                <w:b/>
                <w:bCs/>
                <w:color w:val="222222"/>
              </w:rPr>
              <w:t>TOBB ETU</w:t>
            </w:r>
          </w:p>
          <w:p w14:paraId="25ABF9A3" w14:textId="77777777" w:rsidR="00D951BD" w:rsidRDefault="00000000">
            <w:pPr>
              <w:ind w:left="100"/>
              <w:rPr>
                <w:rFonts w:ascii="Times New Roman" w:eastAsia="Times New Roman" w:hAnsi="Times New Roman" w:cs="Times New Roman"/>
                <w:b/>
                <w:bCs/>
                <w:color w:val="222222"/>
              </w:rPr>
            </w:pPr>
            <w:r>
              <w:rPr>
                <w:rFonts w:ascii="Times New Roman" w:eastAsia="Times New Roman" w:hAnsi="Times New Roman" w:cs="Times New Roman"/>
                <w:b/>
                <w:bCs/>
                <w:color w:val="222222"/>
              </w:rPr>
              <w:t>Bodrum Institute</w:t>
            </w:r>
          </w:p>
          <w:p w14:paraId="5194A38D"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E53410C"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Prof. Dr. Haldun Yalçınkaya</w:t>
            </w:r>
          </w:p>
        </w:tc>
      </w:tr>
      <w:tr w:rsidR="00D951BD" w14:paraId="3771A932" w14:textId="77777777">
        <w:trPr>
          <w:trHeight w:val="424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0F6592"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28 April 2026</w:t>
            </w:r>
          </w:p>
        </w:tc>
        <w:tc>
          <w:tcPr>
            <w:tcW w:w="5607" w:type="dxa"/>
            <w:tcBorders>
              <w:bottom w:val="single" w:sz="8" w:space="0" w:color="000000"/>
              <w:right w:val="single" w:sz="8" w:space="0" w:color="000000"/>
            </w:tcBorders>
            <w:tcMar>
              <w:top w:w="0" w:type="dxa"/>
              <w:left w:w="100" w:type="dxa"/>
              <w:bottom w:w="0" w:type="dxa"/>
              <w:right w:w="100" w:type="dxa"/>
            </w:tcMar>
          </w:tcPr>
          <w:p w14:paraId="73B85E8A"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-Roger Owen, </w:t>
            </w:r>
            <w:r>
              <w:rPr>
                <w:rFonts w:ascii="Times New Roman" w:eastAsia="Times New Roman" w:hAnsi="Times New Roman" w:cs="Times New Roman"/>
                <w:i/>
                <w:iCs/>
              </w:rPr>
              <w:t>State, Power and Politics in the Making of the Modern Middle East</w:t>
            </w:r>
            <w:r>
              <w:rPr>
                <w:rFonts w:ascii="Times New Roman" w:eastAsia="Times New Roman" w:hAnsi="Times New Roman" w:cs="Times New Roman"/>
              </w:rPr>
              <w:t>,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Edition), (London: Routledge, 2004), Chapters 1, 2 </w:t>
            </w:r>
            <w:proofErr w:type="gramStart"/>
            <w:r>
              <w:rPr>
                <w:rFonts w:ascii="Times New Roman" w:eastAsia="Times New Roman" w:hAnsi="Times New Roman" w:cs="Times New Roman"/>
              </w:rPr>
              <w:t>and  3</w:t>
            </w:r>
            <w:proofErr w:type="gramEnd"/>
            <w:r>
              <w:rPr>
                <w:rFonts w:ascii="Times New Roman" w:eastAsia="Times New Roman" w:hAnsi="Times New Roman" w:cs="Times New Roman"/>
              </w:rPr>
              <w:t>.</w:t>
            </w:r>
          </w:p>
          <w:p w14:paraId="030FBF6F" w14:textId="77777777" w:rsidR="00D951BD" w:rsidRDefault="00000000">
            <w:pPr>
              <w:widowControl w:val="0"/>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rPr>
              <w:t xml:space="preserve">-Simon Bromley, “The state-systems in the Middle East: Origins, Development and Prospects” (Chapter 26), in Youssef M. Choueiri (ed.), </w:t>
            </w:r>
            <w:r>
              <w:rPr>
                <w:rFonts w:ascii="Times New Roman" w:eastAsia="Times New Roman" w:hAnsi="Times New Roman" w:cs="Times New Roman"/>
                <w:i/>
                <w:iCs/>
              </w:rPr>
              <w:t>A Companion to the History</w:t>
            </w:r>
          </w:p>
          <w:p w14:paraId="0E2FBD00" w14:textId="77777777" w:rsidR="00D951BD" w:rsidRDefault="00000000">
            <w:pPr>
              <w:rPr>
                <w:rFonts w:ascii="Times New Roman" w:eastAsia="Times New Roman" w:hAnsi="Times New Roman" w:cs="Times New Roman"/>
              </w:rPr>
            </w:pPr>
            <w:r>
              <w:rPr>
                <w:rFonts w:ascii="Times New Roman" w:eastAsia="Times New Roman" w:hAnsi="Times New Roman" w:cs="Times New Roman"/>
                <w:i/>
                <w:iCs/>
              </w:rPr>
              <w:t>of the Modern Middle East</w:t>
            </w:r>
            <w:r>
              <w:rPr>
                <w:rFonts w:ascii="Times New Roman" w:eastAsia="Times New Roman" w:hAnsi="Times New Roman" w:cs="Times New Roman"/>
              </w:rPr>
              <w:t>, (Blackwell Publishing, 2005), 504-532.</w:t>
            </w:r>
          </w:p>
          <w:p w14:paraId="58725AE7"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-Raymond Hinnebusch, “State formation and international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(Chapter 4), </w:t>
            </w:r>
            <w:r>
              <w:rPr>
                <w:rFonts w:ascii="Times New Roman" w:eastAsia="Times New Roman" w:hAnsi="Times New Roman" w:cs="Times New Roman"/>
                <w:i/>
                <w:iCs/>
              </w:rPr>
              <w:t>The International Politics of the Middle East</w:t>
            </w:r>
            <w:r>
              <w:rPr>
                <w:rFonts w:ascii="Times New Roman" w:eastAsia="Times New Roman" w:hAnsi="Times New Roman" w:cs="Times New Roman"/>
              </w:rPr>
              <w:t>, Manchester University Press, 2001, 73-90.</w:t>
            </w:r>
          </w:p>
        </w:tc>
        <w:tc>
          <w:tcPr>
            <w:tcW w:w="2759" w:type="dxa"/>
            <w:tcBorders>
              <w:bottom w:val="single" w:sz="8" w:space="0" w:color="000000"/>
              <w:right w:val="single" w:sz="8" w:space="0" w:color="000000"/>
            </w:tcBorders>
            <w:tcMar>
              <w:top w:w="0" w:type="dxa"/>
              <w:left w:w="100" w:type="dxa"/>
              <w:bottom w:w="0" w:type="dxa"/>
              <w:right w:w="100" w:type="dxa"/>
            </w:tcMar>
          </w:tcPr>
          <w:p w14:paraId="36163FB6"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From World War I until the 1950s:</w:t>
            </w:r>
          </w:p>
          <w:p w14:paraId="0E970342"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-Creation of the Modern Middle Eastern States</w:t>
            </w:r>
          </w:p>
          <w:p w14:paraId="5264C228"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-Making of the Middle East Regional Order</w:t>
            </w:r>
          </w:p>
          <w:p w14:paraId="7E7967CC"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128FF333"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Assist. Prof. Dr. </w:t>
            </w:r>
            <w:proofErr w:type="spellStart"/>
            <w:r>
              <w:rPr>
                <w:rFonts w:ascii="Times New Roman" w:eastAsia="Times New Roman" w:hAnsi="Times New Roman" w:cs="Times New Roman"/>
              </w:rPr>
              <w:t>Gülriz</w:t>
            </w:r>
            <w:proofErr w:type="spellEnd"/>
            <w:r>
              <w:rPr>
                <w:rFonts w:ascii="Times New Roman" w:eastAsia="Times New Roman" w:hAnsi="Times New Roman" w:cs="Times New Roman"/>
              </w:rPr>
              <w:t xml:space="preserve"> Şen</w:t>
            </w:r>
          </w:p>
        </w:tc>
      </w:tr>
      <w:tr w:rsidR="00D951BD" w14:paraId="69ADEE5A" w14:textId="77777777">
        <w:trPr>
          <w:trHeight w:val="8010"/>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74A973"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29 April 2026</w:t>
            </w:r>
          </w:p>
        </w:tc>
        <w:tc>
          <w:tcPr>
            <w:tcW w:w="5607" w:type="dxa"/>
            <w:tcBorders>
              <w:bottom w:val="single" w:sz="8" w:space="0" w:color="000000"/>
              <w:right w:val="single" w:sz="8" w:space="0" w:color="000000"/>
            </w:tcBorders>
            <w:tcMar>
              <w:top w:w="0" w:type="dxa"/>
              <w:left w:w="100" w:type="dxa"/>
              <w:bottom w:w="0" w:type="dxa"/>
              <w:right w:w="100" w:type="dxa"/>
            </w:tcMar>
          </w:tcPr>
          <w:p w14:paraId="7C9562C9" w14:textId="77777777" w:rsidR="00D951BD" w:rsidRDefault="00000000">
            <w:pPr>
              <w:widowControl w:val="0"/>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rPr>
              <w:t xml:space="preserve">- James Gelvin, </w:t>
            </w:r>
            <w:r>
              <w:rPr>
                <w:rFonts w:ascii="Times New Roman" w:eastAsia="Times New Roman" w:hAnsi="Times New Roman" w:cs="Times New Roman"/>
                <w:i/>
                <w:iCs/>
              </w:rPr>
              <w:t>The Modern Middle East: A</w:t>
            </w:r>
          </w:p>
          <w:p w14:paraId="09FBBA33"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i/>
                <w:iCs/>
              </w:rPr>
              <w:t xml:space="preserve">  History,</w:t>
            </w:r>
            <w:r>
              <w:rPr>
                <w:rFonts w:ascii="Times New Roman" w:eastAsia="Times New Roman" w:hAnsi="Times New Roman" w:cs="Times New Roman"/>
              </w:rPr>
              <w:t xml:space="preserve"> 3rd edition, (Oxford: Oxford University Press, 2011), Chapters 14 and 18. (for general framework)</w:t>
            </w:r>
          </w:p>
          <w:p w14:paraId="1922EFB3"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-Avi Shlaim, </w:t>
            </w:r>
            <w:r>
              <w:rPr>
                <w:rFonts w:ascii="Times New Roman" w:eastAsia="Times New Roman" w:hAnsi="Times New Roman" w:cs="Times New Roman"/>
                <w:i/>
                <w:iCs/>
              </w:rPr>
              <w:t xml:space="preserve">The Iron Wall: Israel </w:t>
            </w:r>
            <w:proofErr w:type="gramStart"/>
            <w:r>
              <w:rPr>
                <w:rFonts w:ascii="Times New Roman" w:eastAsia="Times New Roman" w:hAnsi="Times New Roman" w:cs="Times New Roman"/>
                <w:i/>
                <w:iCs/>
              </w:rPr>
              <w:t>and  the</w:t>
            </w:r>
            <w:proofErr w:type="gramEnd"/>
            <w:r>
              <w:rPr>
                <w:rFonts w:ascii="Times New Roman" w:eastAsia="Times New Roman" w:hAnsi="Times New Roman" w:cs="Times New Roman"/>
                <w:i/>
                <w:iCs/>
              </w:rPr>
              <w:t xml:space="preserve"> Arab World </w:t>
            </w:r>
            <w:r>
              <w:rPr>
                <w:rFonts w:ascii="Times New Roman" w:eastAsia="Times New Roman" w:hAnsi="Times New Roman" w:cs="Times New Roman"/>
              </w:rPr>
              <w:t xml:space="preserve">(London: Penguin Books, 2001), Chapters 1, 4 and 6. (to </w:t>
            </w:r>
            <w:proofErr w:type="spellStart"/>
            <w:r>
              <w:rPr>
                <w:rFonts w:ascii="Times New Roman" w:eastAsia="Times New Roman" w:hAnsi="Times New Roman" w:cs="Times New Roman"/>
              </w:rPr>
              <w:t>analyse</w:t>
            </w:r>
            <w:proofErr w:type="spellEnd"/>
            <w:r>
              <w:rPr>
                <w:rFonts w:ascii="Times New Roman" w:eastAsia="Times New Roman" w:hAnsi="Times New Roman" w:cs="Times New Roman"/>
              </w:rPr>
              <w:t xml:space="preserve"> Israeli strategic thinking and reassess the nature of </w:t>
            </w:r>
            <w:proofErr w:type="gramStart"/>
            <w:r>
              <w:rPr>
                <w:rFonts w:ascii="Times New Roman" w:eastAsia="Times New Roman" w:hAnsi="Times New Roman" w:cs="Times New Roman"/>
              </w:rPr>
              <w:t>Arab-Israeli</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wars )</w:t>
            </w:r>
            <w:proofErr w:type="gramEnd"/>
          </w:p>
          <w:p w14:paraId="6C527034"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Benny Morris, </w:t>
            </w:r>
            <w:r>
              <w:rPr>
                <w:rFonts w:ascii="Times New Roman" w:eastAsia="Times New Roman" w:hAnsi="Times New Roman" w:cs="Times New Roman"/>
                <w:i/>
                <w:iCs/>
              </w:rPr>
              <w:t>The Righteous Victims (</w:t>
            </w:r>
            <w:r>
              <w:rPr>
                <w:rFonts w:ascii="Times New Roman" w:eastAsia="Times New Roman" w:hAnsi="Times New Roman" w:cs="Times New Roman"/>
              </w:rPr>
              <w:t>London: Vintage, 2001), Chapters 2, 5, 6 and 7. (to examine empirical history of 1948 and debates over responsibility and displacement)</w:t>
            </w:r>
          </w:p>
          <w:p w14:paraId="31A7745A" w14:textId="77777777" w:rsidR="00D951BD" w:rsidRDefault="00000000">
            <w:pPr>
              <w:widowControl w:val="0"/>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rPr>
              <w:t>-</w:t>
            </w:r>
            <w:proofErr w:type="spellStart"/>
            <w:r>
              <w:rPr>
                <w:rFonts w:ascii="Times New Roman" w:eastAsia="Times New Roman" w:hAnsi="Times New Roman" w:cs="Times New Roman"/>
              </w:rPr>
              <w:t>Adeed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Dawisha</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Arab Nationalism in the 20th</w:t>
            </w:r>
          </w:p>
          <w:p w14:paraId="0027651C"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i/>
                <w:iCs/>
              </w:rPr>
              <w:t xml:space="preserve">  Century: From Triumph to Despair</w:t>
            </w:r>
            <w:r>
              <w:rPr>
                <w:rFonts w:ascii="Times New Roman" w:eastAsia="Times New Roman" w:hAnsi="Times New Roman" w:cs="Times New Roman"/>
              </w:rPr>
              <w:t xml:space="preserve"> (Princeton: Princeton University Press, 2016), Chapters 6, 7 and 10. (to understand the rise and decline of pan-Arabism as a</w:t>
            </w:r>
          </w:p>
          <w:p w14:paraId="025E906F" w14:textId="77777777" w:rsidR="00D951BD" w:rsidRDefault="00000000">
            <w:pPr>
              <w:spacing w:before="40"/>
              <w:ind w:left="100"/>
              <w:rPr>
                <w:rFonts w:ascii="Times New Roman" w:eastAsia="Times New Roman" w:hAnsi="Times New Roman" w:cs="Times New Roman"/>
              </w:rPr>
            </w:pPr>
            <w:r>
              <w:rPr>
                <w:rFonts w:ascii="Times New Roman" w:eastAsia="Times New Roman" w:hAnsi="Times New Roman" w:cs="Times New Roman"/>
              </w:rPr>
              <w:t xml:space="preserve">  regional ideology)</w:t>
            </w:r>
          </w:p>
          <w:p w14:paraId="00D79AB7" w14:textId="77777777" w:rsidR="00D951BD" w:rsidRDefault="00000000">
            <w:pPr>
              <w:widowControl w:val="0"/>
              <w:pBdr>
                <w:top w:val="nil"/>
                <w:left w:val="nil"/>
                <w:bottom w:val="nil"/>
                <w:right w:val="nil"/>
                <w:between w:val="nil"/>
              </w:pBdr>
              <w:rPr>
                <w:rFonts w:ascii="Times New Roman" w:eastAsia="Times New Roman" w:hAnsi="Times New Roman" w:cs="Times New Roman"/>
                <w:color w:val="333333"/>
                <w:highlight w:val="white"/>
              </w:rPr>
            </w:pPr>
            <w:r>
              <w:rPr>
                <w:rFonts w:ascii="Times New Roman" w:eastAsia="Times New Roman" w:hAnsi="Times New Roman" w:cs="Times New Roman"/>
              </w:rPr>
              <w:t xml:space="preserve">-Fawaz </w:t>
            </w:r>
            <w:r>
              <w:rPr>
                <w:rFonts w:ascii="Times New Roman" w:eastAsia="Times New Roman" w:hAnsi="Times New Roman" w:cs="Times New Roman"/>
                <w:color w:val="333333"/>
                <w:highlight w:val="white"/>
              </w:rPr>
              <w:t>Gerges, “The study of middle east International</w:t>
            </w:r>
          </w:p>
          <w:p w14:paraId="6A571CA8" w14:textId="77777777" w:rsidR="00D951BD" w:rsidRDefault="00000000">
            <w:pPr>
              <w:widowControl w:val="0"/>
              <w:pBdr>
                <w:top w:val="nil"/>
                <w:left w:val="nil"/>
                <w:bottom w:val="nil"/>
                <w:right w:val="nil"/>
                <w:between w:val="nil"/>
              </w:pBdr>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relations: a critique”. </w:t>
            </w:r>
            <w:r>
              <w:rPr>
                <w:rFonts w:ascii="Times New Roman" w:eastAsia="Times New Roman" w:hAnsi="Times New Roman" w:cs="Times New Roman"/>
                <w:i/>
                <w:iCs/>
                <w:color w:val="333333"/>
                <w:highlight w:val="white"/>
              </w:rPr>
              <w:t>British Society for Middle Eastern Studies. Bulletin</w:t>
            </w:r>
            <w:r>
              <w:rPr>
                <w:rFonts w:ascii="Times New Roman" w:eastAsia="Times New Roman" w:hAnsi="Times New Roman" w:cs="Times New Roman"/>
                <w:color w:val="333333"/>
                <w:highlight w:val="white"/>
              </w:rPr>
              <w:t xml:space="preserve">, </w:t>
            </w:r>
            <w:r>
              <w:rPr>
                <w:rFonts w:ascii="Times New Roman" w:eastAsia="Times New Roman" w:hAnsi="Times New Roman" w:cs="Times New Roman"/>
                <w:i/>
                <w:iCs/>
                <w:color w:val="333333"/>
                <w:highlight w:val="white"/>
              </w:rPr>
              <w:t>18</w:t>
            </w:r>
            <w:r>
              <w:rPr>
                <w:rFonts w:ascii="Times New Roman" w:eastAsia="Times New Roman" w:hAnsi="Times New Roman" w:cs="Times New Roman"/>
                <w:color w:val="333333"/>
                <w:highlight w:val="white"/>
              </w:rPr>
              <w:t>(2), 208–220.</w:t>
            </w:r>
            <w:hyperlink r:id="rId5">
              <w:r>
                <w:rPr>
                  <w:rFonts w:ascii="Times New Roman" w:eastAsia="Times New Roman" w:hAnsi="Times New Roman" w:cs="Times New Roman"/>
                  <w:color w:val="333333"/>
                  <w:highlight w:val="white"/>
                </w:rPr>
                <w:t xml:space="preserve"> </w:t>
              </w:r>
            </w:hyperlink>
            <w:hyperlink r:id="rId6">
              <w:r>
                <w:rPr>
                  <w:rFonts w:ascii="Times New Roman" w:eastAsia="Times New Roman" w:hAnsi="Times New Roman" w:cs="Times New Roman"/>
                  <w:color w:val="1155CC"/>
                  <w:highlight w:val="white"/>
                  <w:u w:val="single"/>
                </w:rPr>
                <w:t>https://doi.org/10.1080/13530199108705538</w:t>
              </w:r>
            </w:hyperlink>
            <w:r>
              <w:rPr>
                <w:rFonts w:ascii="Times New Roman" w:eastAsia="Times New Roman" w:hAnsi="Times New Roman" w:cs="Times New Roman"/>
                <w:color w:val="333333"/>
                <w:highlight w:val="white"/>
              </w:rPr>
              <w:t>.</w:t>
            </w:r>
          </w:p>
          <w:p w14:paraId="2AF35035" w14:textId="77777777" w:rsidR="00D951BD" w:rsidRDefault="00000000">
            <w:pPr>
              <w:widowControl w:val="0"/>
              <w:pBdr>
                <w:top w:val="nil"/>
                <w:left w:val="nil"/>
                <w:bottom w:val="nil"/>
                <w:right w:val="nil"/>
                <w:between w:val="nil"/>
              </w:pBdr>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(to frame the </w:t>
            </w:r>
            <w:proofErr w:type="gramStart"/>
            <w:r>
              <w:rPr>
                <w:rFonts w:ascii="Times New Roman" w:eastAsia="Times New Roman" w:hAnsi="Times New Roman" w:cs="Times New Roman"/>
                <w:color w:val="333333"/>
                <w:highlight w:val="white"/>
              </w:rPr>
              <w:t>Arab-Israeli</w:t>
            </w:r>
            <w:proofErr w:type="gramEnd"/>
            <w:r>
              <w:rPr>
                <w:rFonts w:ascii="Times New Roman" w:eastAsia="Times New Roman" w:hAnsi="Times New Roman" w:cs="Times New Roman"/>
                <w:color w:val="333333"/>
                <w:highlight w:val="white"/>
              </w:rPr>
              <w:t xml:space="preserve"> conflict within the interplay of ideology, </w:t>
            </w:r>
            <w:proofErr w:type="gramStart"/>
            <w:r>
              <w:rPr>
                <w:rFonts w:ascii="Times New Roman" w:eastAsia="Times New Roman" w:hAnsi="Times New Roman" w:cs="Times New Roman"/>
                <w:color w:val="333333"/>
                <w:highlight w:val="white"/>
              </w:rPr>
              <w:t>state  interest</w:t>
            </w:r>
            <w:proofErr w:type="gramEnd"/>
            <w:r>
              <w:rPr>
                <w:rFonts w:ascii="Times New Roman" w:eastAsia="Times New Roman" w:hAnsi="Times New Roman" w:cs="Times New Roman"/>
                <w:color w:val="333333"/>
                <w:highlight w:val="white"/>
              </w:rPr>
              <w:t xml:space="preserve"> and regional order)</w:t>
            </w:r>
          </w:p>
        </w:tc>
        <w:tc>
          <w:tcPr>
            <w:tcW w:w="2759" w:type="dxa"/>
            <w:tcBorders>
              <w:bottom w:val="single" w:sz="8" w:space="0" w:color="000000"/>
              <w:right w:val="single" w:sz="8" w:space="0" w:color="000000"/>
            </w:tcBorders>
            <w:tcMar>
              <w:top w:w="0" w:type="dxa"/>
              <w:left w:w="100" w:type="dxa"/>
              <w:bottom w:w="0" w:type="dxa"/>
              <w:right w:w="100" w:type="dxa"/>
            </w:tcMar>
          </w:tcPr>
          <w:p w14:paraId="5358B88D"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From the 1950s until the 1970s:</w:t>
            </w:r>
          </w:p>
          <w:p w14:paraId="0DACD503"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-The </w:t>
            </w:r>
            <w:proofErr w:type="gramStart"/>
            <w:r>
              <w:rPr>
                <w:rFonts w:ascii="Times New Roman" w:eastAsia="Times New Roman" w:hAnsi="Times New Roman" w:cs="Times New Roman"/>
                <w:b/>
                <w:bCs/>
              </w:rPr>
              <w:t>Arab-Israeli</w:t>
            </w:r>
            <w:proofErr w:type="gramEnd"/>
            <w:r>
              <w:rPr>
                <w:rFonts w:ascii="Times New Roman" w:eastAsia="Times New Roman" w:hAnsi="Times New Roman" w:cs="Times New Roman"/>
                <w:b/>
                <w:bCs/>
              </w:rPr>
              <w:t xml:space="preserve"> Conflict: The 1948 &amp; 1967 Wars &amp; The Suez Crisis</w:t>
            </w:r>
          </w:p>
          <w:p w14:paraId="3A749B1F"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-Ideologies in the Middle East Regional Order: Pan-Arabism </w:t>
            </w:r>
          </w:p>
          <w:p w14:paraId="266FD598"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B620030"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Assoc. Prof. Dr. Tuğçe Ersoy Ceylan</w:t>
            </w:r>
          </w:p>
        </w:tc>
      </w:tr>
      <w:tr w:rsidR="00D951BD" w14:paraId="09AE3B5E" w14:textId="77777777">
        <w:trPr>
          <w:trHeight w:val="4740"/>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509DE662"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30 April 2026</w:t>
            </w:r>
          </w:p>
        </w:tc>
        <w:tc>
          <w:tcPr>
            <w:tcW w:w="5607" w:type="dxa"/>
            <w:tcBorders>
              <w:bottom w:val="single" w:sz="8" w:space="0" w:color="000000"/>
              <w:right w:val="single" w:sz="8" w:space="0" w:color="000000"/>
            </w:tcBorders>
            <w:tcMar>
              <w:top w:w="0" w:type="dxa"/>
              <w:left w:w="100" w:type="dxa"/>
              <w:bottom w:w="0" w:type="dxa"/>
              <w:right w:w="100" w:type="dxa"/>
            </w:tcMar>
          </w:tcPr>
          <w:p w14:paraId="549C28D3"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Raymond Hinnebusch, “War and Order in the Regional System” (Chapter 7), </w:t>
            </w:r>
            <w:r>
              <w:rPr>
                <w:rFonts w:ascii="Times New Roman" w:eastAsia="Times New Roman" w:hAnsi="Times New Roman" w:cs="Times New Roman"/>
                <w:i/>
                <w:iCs/>
              </w:rPr>
              <w:t>The International Politics of the Middle East</w:t>
            </w:r>
            <w:r>
              <w:rPr>
                <w:rFonts w:ascii="Times New Roman" w:eastAsia="Times New Roman" w:hAnsi="Times New Roman" w:cs="Times New Roman"/>
              </w:rPr>
              <w:t>, 154-203.</w:t>
            </w:r>
          </w:p>
          <w:p w14:paraId="05D6FDB9"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-Fred Halliday, “The Iranian Revolution in Comparative Perspective”, in </w:t>
            </w:r>
            <w:r>
              <w:rPr>
                <w:rFonts w:ascii="Times New Roman" w:eastAsia="Times New Roman" w:hAnsi="Times New Roman" w:cs="Times New Roman"/>
                <w:i/>
                <w:iCs/>
              </w:rPr>
              <w:t>Islam and the Myth of Confrontation</w:t>
            </w:r>
            <w:r>
              <w:rPr>
                <w:rFonts w:ascii="Times New Roman" w:eastAsia="Times New Roman" w:hAnsi="Times New Roman" w:cs="Times New Roman"/>
              </w:rPr>
              <w:t>, (London: IB Tauris,1996), 42-75.</w:t>
            </w:r>
          </w:p>
          <w:p w14:paraId="23D0583B" w14:textId="77777777" w:rsidR="00D951BD" w:rsidRDefault="00000000">
            <w:pPr>
              <w:widowControl w:val="0"/>
              <w:pBdr>
                <w:top w:val="nil"/>
                <w:left w:val="nil"/>
                <w:bottom w:val="nil"/>
                <w:right w:val="nil"/>
                <w:between w:val="nil"/>
              </w:pBdr>
              <w:rPr>
                <w:rFonts w:ascii="Times New Roman" w:eastAsia="Times New Roman" w:hAnsi="Times New Roman" w:cs="Times New Roman"/>
                <w:color w:val="222222"/>
              </w:rPr>
            </w:pPr>
            <w:r>
              <w:rPr>
                <w:rFonts w:ascii="Times New Roman" w:eastAsia="Times New Roman" w:hAnsi="Times New Roman" w:cs="Times New Roman"/>
                <w:b/>
                <w:bCs/>
                <w:color w:val="222222"/>
              </w:rPr>
              <w:t>-</w:t>
            </w:r>
            <w:r>
              <w:rPr>
                <w:rFonts w:ascii="Times New Roman" w:eastAsia="Times New Roman" w:hAnsi="Times New Roman" w:cs="Times New Roman"/>
                <w:color w:val="222222"/>
              </w:rPr>
              <w:t>Misagh Parsa, “State, Class, and Ideology in the Iranian</w:t>
            </w:r>
          </w:p>
          <w:p w14:paraId="0AD5A7DA"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222222"/>
              </w:rPr>
              <w:t xml:space="preserve">  Revolution”, </w:t>
            </w:r>
            <w:r>
              <w:rPr>
                <w:rFonts w:ascii="Times New Roman" w:eastAsia="Times New Roman" w:hAnsi="Times New Roman" w:cs="Times New Roman"/>
                <w:i/>
                <w:iCs/>
              </w:rPr>
              <w:t xml:space="preserve">Comparative Studies of South Asia, Africa, and </w:t>
            </w:r>
            <w:proofErr w:type="gramStart"/>
            <w:r>
              <w:rPr>
                <w:rFonts w:ascii="Times New Roman" w:eastAsia="Times New Roman" w:hAnsi="Times New Roman" w:cs="Times New Roman"/>
                <w:i/>
                <w:iCs/>
              </w:rPr>
              <w:t>the  Middle</w:t>
            </w:r>
            <w:proofErr w:type="gramEnd"/>
            <w:r>
              <w:rPr>
                <w:rFonts w:ascii="Times New Roman" w:eastAsia="Times New Roman" w:hAnsi="Times New Roman" w:cs="Times New Roman"/>
                <w:i/>
                <w:iCs/>
              </w:rPr>
              <w:t xml:space="preserve"> East</w:t>
            </w:r>
            <w:r>
              <w:rPr>
                <w:rFonts w:ascii="Times New Roman" w:eastAsia="Times New Roman" w:hAnsi="Times New Roman" w:cs="Times New Roman"/>
              </w:rPr>
              <w:t>, 29:1, 2009, 3-17.</w:t>
            </w:r>
          </w:p>
          <w:p w14:paraId="4195168F"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-Beverley Milton-Edwards, “Past, Present, and Future Politics: Islam” (Chapter 5), </w:t>
            </w:r>
            <w:r>
              <w:rPr>
                <w:rFonts w:ascii="Times New Roman" w:eastAsia="Times New Roman" w:hAnsi="Times New Roman" w:cs="Times New Roman"/>
                <w:i/>
                <w:iCs/>
              </w:rPr>
              <w:t>Contemporary Politics in the Middle East</w:t>
            </w:r>
            <w:r>
              <w:rPr>
                <w:rFonts w:ascii="Times New Roman" w:eastAsia="Times New Roman" w:hAnsi="Times New Roman" w:cs="Times New Roman"/>
              </w:rPr>
              <w:t>, 144-171.</w:t>
            </w:r>
          </w:p>
        </w:tc>
        <w:tc>
          <w:tcPr>
            <w:tcW w:w="2759" w:type="dxa"/>
            <w:tcBorders>
              <w:bottom w:val="single" w:sz="8" w:space="0" w:color="000000"/>
              <w:right w:val="single" w:sz="8" w:space="0" w:color="000000"/>
            </w:tcBorders>
            <w:tcMar>
              <w:top w:w="0" w:type="dxa"/>
              <w:left w:w="100" w:type="dxa"/>
              <w:bottom w:w="0" w:type="dxa"/>
              <w:right w:w="100" w:type="dxa"/>
            </w:tcMar>
          </w:tcPr>
          <w:p w14:paraId="0F8F46E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Middle East in the 1970s: Issues of Revolution, War and Cold Peace</w:t>
            </w:r>
          </w:p>
          <w:p w14:paraId="06A0461E"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-The Iranian Revolution &amp; the rise Political Islam in Regional Politics</w:t>
            </w:r>
          </w:p>
          <w:p w14:paraId="4DAEAED6"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-Camp David Process: The Egypt-Israel Peace</w:t>
            </w:r>
          </w:p>
          <w:p w14:paraId="41761B96"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-The Coming of the Oil Age: The shifts in the Gulf political economy</w:t>
            </w:r>
          </w:p>
          <w:p w14:paraId="6B0D2D25"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7389D49B"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Assist. Prof. Dr. </w:t>
            </w:r>
            <w:proofErr w:type="spellStart"/>
            <w:r>
              <w:rPr>
                <w:rFonts w:ascii="Times New Roman" w:eastAsia="Times New Roman" w:hAnsi="Times New Roman" w:cs="Times New Roman"/>
              </w:rPr>
              <w:t>Gülriz</w:t>
            </w:r>
            <w:proofErr w:type="spellEnd"/>
            <w:r>
              <w:rPr>
                <w:rFonts w:ascii="Times New Roman" w:eastAsia="Times New Roman" w:hAnsi="Times New Roman" w:cs="Times New Roman"/>
              </w:rPr>
              <w:t xml:space="preserve"> Şen</w:t>
            </w:r>
          </w:p>
        </w:tc>
      </w:tr>
      <w:tr w:rsidR="00D951BD" w14:paraId="1540FCDF" w14:textId="77777777">
        <w:trPr>
          <w:trHeight w:val="3630"/>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283EC4"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4 May 2026</w:t>
            </w:r>
          </w:p>
        </w:tc>
        <w:tc>
          <w:tcPr>
            <w:tcW w:w="5607" w:type="dxa"/>
            <w:tcBorders>
              <w:bottom w:val="single" w:sz="8" w:space="0" w:color="000000"/>
              <w:right w:val="single" w:sz="8" w:space="0" w:color="000000"/>
            </w:tcBorders>
            <w:tcMar>
              <w:top w:w="0" w:type="dxa"/>
              <w:left w:w="100" w:type="dxa"/>
              <w:bottom w:w="0" w:type="dxa"/>
              <w:right w:w="100" w:type="dxa"/>
            </w:tcMar>
          </w:tcPr>
          <w:p w14:paraId="2EFCD932" w14:textId="77777777" w:rsidR="00D951BD" w:rsidRDefault="00000000">
            <w:pPr>
              <w:spacing w:before="40"/>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Muadth</w:t>
            </w:r>
            <w:proofErr w:type="spellEnd"/>
            <w:r>
              <w:rPr>
                <w:rFonts w:ascii="Times New Roman" w:eastAsia="Times New Roman" w:hAnsi="Times New Roman" w:cs="Times New Roman"/>
              </w:rPr>
              <w:t xml:space="preserve"> Malley, “The Lebanese Civil war and the Taif Accord”, </w:t>
            </w:r>
            <w:r>
              <w:rPr>
                <w:rFonts w:ascii="Times New Roman" w:eastAsia="Times New Roman" w:hAnsi="Times New Roman" w:cs="Times New Roman"/>
                <w:i/>
                <w:iCs/>
              </w:rPr>
              <w:t>The History Teacher</w:t>
            </w:r>
            <w:r>
              <w:rPr>
                <w:rFonts w:ascii="Times New Roman" w:eastAsia="Times New Roman" w:hAnsi="Times New Roman" w:cs="Times New Roman"/>
              </w:rPr>
              <w:t>, Nov. 2018, Vol. 52, No. 1, pp. 121-159.</w:t>
            </w:r>
          </w:p>
          <w:p w14:paraId="35250D89" w14:textId="77777777" w:rsidR="00D951BD" w:rsidRDefault="00000000">
            <w:pPr>
              <w:widowControl w:val="0"/>
              <w:pBdr>
                <w:top w:val="nil"/>
                <w:left w:val="nil"/>
                <w:bottom w:val="nil"/>
                <w:right w:val="nil"/>
                <w:between w:val="nil"/>
              </w:pBdr>
              <w:rPr>
                <w:rFonts w:ascii="Times New Roman" w:eastAsia="Times New Roman" w:hAnsi="Times New Roman" w:cs="Times New Roman"/>
                <w:color w:val="222222"/>
              </w:rPr>
            </w:pPr>
            <w:r>
              <w:rPr>
                <w:rFonts w:ascii="Times New Roman" w:eastAsia="Times New Roman" w:hAnsi="Times New Roman" w:cs="Times New Roman"/>
              </w:rPr>
              <w:t xml:space="preserve">- Florence </w:t>
            </w:r>
            <w:proofErr w:type="spellStart"/>
            <w:r>
              <w:rPr>
                <w:rFonts w:ascii="Times New Roman" w:eastAsia="Times New Roman" w:hAnsi="Times New Roman" w:cs="Times New Roman"/>
              </w:rPr>
              <w:t>Guab</w:t>
            </w:r>
            <w:proofErr w:type="spellEnd"/>
            <w:r>
              <w:rPr>
                <w:rFonts w:ascii="Times New Roman" w:eastAsia="Times New Roman" w:hAnsi="Times New Roman" w:cs="Times New Roman"/>
              </w:rPr>
              <w:t>, “</w:t>
            </w:r>
            <w:r>
              <w:rPr>
                <w:rFonts w:ascii="Times New Roman" w:eastAsia="Times New Roman" w:hAnsi="Times New Roman" w:cs="Times New Roman"/>
                <w:color w:val="222222"/>
              </w:rPr>
              <w:t xml:space="preserve">Lebanese Civil War - Seven Lessons Learned forty years on”, European Union Institute for Security Studies, April 2015. </w:t>
            </w:r>
          </w:p>
          <w:p w14:paraId="6985075A" w14:textId="77777777" w:rsidR="00D951BD" w:rsidRDefault="00000000">
            <w:pPr>
              <w:widowControl w:val="0"/>
              <w:pBdr>
                <w:top w:val="nil"/>
                <w:left w:val="nil"/>
                <w:bottom w:val="nil"/>
                <w:right w:val="nil"/>
                <w:between w:val="nil"/>
              </w:pBdr>
              <w:rPr>
                <w:rFonts w:ascii="Times New Roman" w:eastAsia="Times New Roman" w:hAnsi="Times New Roman" w:cs="Times New Roman"/>
                <w:color w:val="222222"/>
              </w:rPr>
            </w:pPr>
            <w:r>
              <w:rPr>
                <w:rFonts w:ascii="Times New Roman" w:eastAsia="Times New Roman" w:hAnsi="Times New Roman" w:cs="Times New Roman"/>
                <w:color w:val="222222"/>
              </w:rPr>
              <w:t>- Efraim Karsh, “Geopolitical Determinism: The Origins of</w:t>
            </w:r>
          </w:p>
          <w:p w14:paraId="2F77E595" w14:textId="77777777" w:rsidR="00D951B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 xml:space="preserve">  Iran-Iraq War”, </w:t>
            </w:r>
            <w:r>
              <w:rPr>
                <w:rFonts w:ascii="Times New Roman" w:eastAsia="Times New Roman" w:hAnsi="Times New Roman" w:cs="Times New Roman"/>
                <w:i/>
                <w:iCs/>
                <w:color w:val="222222"/>
              </w:rPr>
              <w:t>Middle East Journal,</w:t>
            </w:r>
            <w:r>
              <w:rPr>
                <w:rFonts w:ascii="Times New Roman" w:eastAsia="Times New Roman" w:hAnsi="Times New Roman" w:cs="Times New Roman"/>
                <w:color w:val="222222"/>
              </w:rPr>
              <w:t xml:space="preserve"> Spring 1990, Vol. 44, No. 2.</w:t>
            </w:r>
          </w:p>
          <w:p w14:paraId="25AF4F76" w14:textId="77777777" w:rsidR="00D951BD" w:rsidRDefault="00000000">
            <w:pPr>
              <w:widowControl w:val="0"/>
              <w:pBdr>
                <w:top w:val="nil"/>
                <w:left w:val="nil"/>
                <w:bottom w:val="nil"/>
                <w:right w:val="nil"/>
                <w:between w:val="nil"/>
              </w:pBdr>
              <w:rPr>
                <w:rFonts w:ascii="Times New Roman" w:eastAsia="Times New Roman" w:hAnsi="Times New Roman" w:cs="Times New Roman"/>
                <w:color w:val="222222"/>
              </w:rPr>
            </w:pPr>
            <w:r>
              <w:rPr>
                <w:rFonts w:ascii="Times New Roman" w:eastAsia="Times New Roman" w:hAnsi="Times New Roman" w:cs="Times New Roman"/>
                <w:color w:val="222222"/>
              </w:rPr>
              <w:t>- Ray Tayekh, “The Iran-Iraq War: A Reassessment”, Middle East Journal, Summer 2010.</w:t>
            </w:r>
          </w:p>
          <w:p w14:paraId="51881C89" w14:textId="77777777" w:rsidR="00D951BD" w:rsidRDefault="00D951BD">
            <w:pPr>
              <w:rPr>
                <w:rFonts w:ascii="Times New Roman" w:eastAsia="Times New Roman" w:hAnsi="Times New Roman" w:cs="Times New Roman"/>
              </w:rPr>
            </w:pPr>
          </w:p>
        </w:tc>
        <w:tc>
          <w:tcPr>
            <w:tcW w:w="2759" w:type="dxa"/>
            <w:tcBorders>
              <w:bottom w:val="single" w:sz="8" w:space="0" w:color="000000"/>
              <w:right w:val="single" w:sz="8" w:space="0" w:color="000000"/>
            </w:tcBorders>
            <w:tcMar>
              <w:top w:w="0" w:type="dxa"/>
              <w:left w:w="100" w:type="dxa"/>
              <w:bottom w:w="0" w:type="dxa"/>
              <w:right w:w="100" w:type="dxa"/>
            </w:tcMar>
          </w:tcPr>
          <w:p w14:paraId="6DBB9639"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Middle East in the 1980s: War and Order</w:t>
            </w:r>
          </w:p>
          <w:p w14:paraId="507EFC78"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-Lebanese Civil War</w:t>
            </w:r>
          </w:p>
          <w:p w14:paraId="32A879DC"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-Iran-Iraq War and its implications for the Gulf</w:t>
            </w:r>
          </w:p>
          <w:p w14:paraId="0457C6D7"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673D862"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Prof. Dr. Özlem Tür</w:t>
            </w:r>
          </w:p>
        </w:tc>
      </w:tr>
      <w:tr w:rsidR="00D951BD" w14:paraId="1F7A009F" w14:textId="77777777">
        <w:trPr>
          <w:trHeight w:val="4890"/>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31C59C"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5 May 2026</w:t>
            </w:r>
          </w:p>
        </w:tc>
        <w:tc>
          <w:tcPr>
            <w:tcW w:w="5607" w:type="dxa"/>
            <w:tcBorders>
              <w:bottom w:val="single" w:sz="8" w:space="0" w:color="000000"/>
              <w:right w:val="single" w:sz="8" w:space="0" w:color="000000"/>
            </w:tcBorders>
            <w:tcMar>
              <w:top w:w="0" w:type="dxa"/>
              <w:left w:w="100" w:type="dxa"/>
              <w:bottom w:w="0" w:type="dxa"/>
              <w:right w:w="100" w:type="dxa"/>
            </w:tcMar>
          </w:tcPr>
          <w:p w14:paraId="0576E045" w14:textId="77777777" w:rsidR="00D951BD" w:rsidRDefault="00000000">
            <w:pPr>
              <w:pStyle w:val="Heading1"/>
              <w:keepNext w:val="0"/>
              <w:keepLines w:val="0"/>
              <w:shd w:val="clear" w:color="auto" w:fill="FFFFFF"/>
              <w:spacing w:before="0" w:after="0" w:line="239" w:lineRule="auto"/>
              <w:rPr>
                <w:rFonts w:ascii="Times New Roman" w:eastAsia="Times New Roman" w:hAnsi="Times New Roman" w:cs="Times New Roman"/>
                <w:sz w:val="22"/>
                <w:szCs w:val="22"/>
              </w:rPr>
            </w:pPr>
            <w:bookmarkStart w:id="0" w:name="_hpqmi9cuuert" w:colFirst="0" w:colLast="0"/>
            <w:bookmarkEnd w:id="0"/>
            <w:r>
              <w:rPr>
                <w:rFonts w:ascii="Times New Roman" w:eastAsia="Times New Roman" w:hAnsi="Times New Roman" w:cs="Times New Roman"/>
                <w:sz w:val="22"/>
                <w:szCs w:val="22"/>
              </w:rPr>
              <w:t xml:space="preserve">- </w:t>
            </w:r>
            <w:hyperlink r:id="rId7">
              <w:r>
                <w:rPr>
                  <w:rFonts w:ascii="Times New Roman" w:eastAsia="Times New Roman" w:hAnsi="Times New Roman" w:cs="Times New Roman"/>
                  <w:sz w:val="22"/>
                  <w:szCs w:val="22"/>
                </w:rPr>
                <w:t>William L. Cleveland</w:t>
              </w:r>
            </w:hyperlink>
            <w:r>
              <w:rPr>
                <w:rFonts w:ascii="Times New Roman" w:eastAsia="Times New Roman" w:hAnsi="Times New Roman" w:cs="Times New Roman"/>
                <w:sz w:val="22"/>
                <w:szCs w:val="22"/>
              </w:rPr>
              <w:t>,</w:t>
            </w:r>
            <w:hyperlink r:id="rId8">
              <w:r>
                <w:rPr>
                  <w:rFonts w:ascii="Times New Roman" w:eastAsia="Times New Roman" w:hAnsi="Times New Roman" w:cs="Times New Roman"/>
                  <w:sz w:val="22"/>
                  <w:szCs w:val="22"/>
                </w:rPr>
                <w:t xml:space="preserve"> Martin Bunton</w:t>
              </w:r>
            </w:hyperlink>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A History of the Modern Middle East</w:t>
            </w:r>
            <w:r>
              <w:rPr>
                <w:rFonts w:ascii="Times New Roman" w:eastAsia="Times New Roman" w:hAnsi="Times New Roman" w:cs="Times New Roman"/>
                <w:sz w:val="22"/>
                <w:szCs w:val="22"/>
              </w:rPr>
              <w:t>, 2024, pp. 439-487.</w:t>
            </w:r>
          </w:p>
          <w:p w14:paraId="3C866E70" w14:textId="77777777" w:rsidR="00D951BD" w:rsidRDefault="00000000">
            <w:pPr>
              <w:widowControl w:val="0"/>
              <w:pBdr>
                <w:top w:val="nil"/>
                <w:left w:val="nil"/>
                <w:bottom w:val="nil"/>
                <w:right w:val="nil"/>
                <w:between w:val="nil"/>
              </w:pBdr>
              <w:rPr>
                <w:rFonts w:ascii="Times New Roman" w:eastAsia="Times New Roman" w:hAnsi="Times New Roman" w:cs="Times New Roman"/>
                <w:i/>
                <w:iCs/>
              </w:rPr>
            </w:pPr>
            <w:r>
              <w:rPr>
                <w:rFonts w:ascii="Times New Roman" w:eastAsia="Times New Roman" w:hAnsi="Times New Roman" w:cs="Times New Roman"/>
                <w:highlight w:val="white"/>
              </w:rPr>
              <w:t xml:space="preserve">-Barnett, Michael N. </w:t>
            </w:r>
            <w:r>
              <w:rPr>
                <w:rFonts w:ascii="Times New Roman" w:eastAsia="Times New Roman" w:hAnsi="Times New Roman" w:cs="Times New Roman"/>
                <w:i/>
                <w:iCs/>
              </w:rPr>
              <w:t xml:space="preserve">Dialogues in Arab </w:t>
            </w:r>
            <w:proofErr w:type="gramStart"/>
            <w:r>
              <w:rPr>
                <w:rFonts w:ascii="Times New Roman" w:eastAsia="Times New Roman" w:hAnsi="Times New Roman" w:cs="Times New Roman"/>
                <w:i/>
                <w:iCs/>
              </w:rPr>
              <w:t>Politics :</w:t>
            </w:r>
            <w:proofErr w:type="gramEnd"/>
          </w:p>
          <w:p w14:paraId="0C47A172" w14:textId="77777777" w:rsidR="00D951BD" w:rsidRDefault="00000000">
            <w:pPr>
              <w:rPr>
                <w:rFonts w:ascii="Times New Roman" w:eastAsia="Times New Roman" w:hAnsi="Times New Roman" w:cs="Times New Roman"/>
              </w:rPr>
            </w:pPr>
            <w:r>
              <w:rPr>
                <w:rFonts w:ascii="Times New Roman" w:eastAsia="Times New Roman" w:hAnsi="Times New Roman" w:cs="Times New Roman"/>
                <w:i/>
                <w:iCs/>
              </w:rPr>
              <w:t>Negotiations in Regional Order</w:t>
            </w:r>
            <w:r>
              <w:rPr>
                <w:rFonts w:ascii="Times New Roman" w:eastAsia="Times New Roman" w:hAnsi="Times New Roman" w:cs="Times New Roman"/>
              </w:rPr>
              <w:t>. New York: Columbia University Press, 1998.</w:t>
            </w:r>
          </w:p>
          <w:p w14:paraId="33095553" w14:textId="77777777" w:rsidR="00D951BD" w:rsidRDefault="00000000">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Telhami</w:t>
            </w:r>
            <w:proofErr w:type="spellEnd"/>
            <w:r>
              <w:rPr>
                <w:rFonts w:ascii="Times New Roman" w:eastAsia="Times New Roman" w:hAnsi="Times New Roman" w:cs="Times New Roman"/>
                <w:highlight w:val="white"/>
              </w:rPr>
              <w:t>, Shibley, and Michael N. Barnett, eds.</w:t>
            </w:r>
          </w:p>
          <w:p w14:paraId="081B32DD"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highlight w:val="white"/>
              </w:rPr>
              <w:t xml:space="preserve">  </w:t>
            </w:r>
            <w:r>
              <w:rPr>
                <w:rFonts w:ascii="Times New Roman" w:eastAsia="Times New Roman" w:hAnsi="Times New Roman" w:cs="Times New Roman"/>
                <w:i/>
                <w:iCs/>
              </w:rPr>
              <w:t>Identity and Foreign Policy in the Middle East</w:t>
            </w:r>
            <w:r>
              <w:rPr>
                <w:rFonts w:ascii="Times New Roman" w:eastAsia="Times New Roman" w:hAnsi="Times New Roman" w:cs="Times New Roman"/>
              </w:rPr>
              <w:t>. Ithaca, NY: Cornell University Press, 2002.</w:t>
            </w:r>
          </w:p>
          <w:p w14:paraId="167AF65E"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highlight w:val="white"/>
              </w:rPr>
              <w:t xml:space="preserve">-Halliday, F. (2005). </w:t>
            </w:r>
            <w:r>
              <w:rPr>
                <w:rFonts w:ascii="Times New Roman" w:eastAsia="Times New Roman" w:hAnsi="Times New Roman" w:cs="Times New Roman"/>
                <w:i/>
                <w:iCs/>
              </w:rPr>
              <w:t>The Middle East in International Relations: Power, Politics and Ideology</w:t>
            </w:r>
            <w:r>
              <w:rPr>
                <w:rFonts w:ascii="Times New Roman" w:eastAsia="Times New Roman" w:hAnsi="Times New Roman" w:cs="Times New Roman"/>
              </w:rPr>
              <w:t xml:space="preserve"> (The Contemporary </w:t>
            </w:r>
            <w:proofErr w:type="gramStart"/>
            <w:r>
              <w:rPr>
                <w:rFonts w:ascii="Times New Roman" w:eastAsia="Times New Roman" w:hAnsi="Times New Roman" w:cs="Times New Roman"/>
              </w:rPr>
              <w:t>Middle  East</w:t>
            </w:r>
            <w:proofErr w:type="gramEnd"/>
            <w:r>
              <w:rPr>
                <w:rFonts w:ascii="Times New Roman" w:eastAsia="Times New Roman" w:hAnsi="Times New Roman" w:cs="Times New Roman"/>
              </w:rPr>
              <w:t xml:space="preserve">, Vol. 4). Cambridge: Cambridge University Press. </w:t>
            </w:r>
          </w:p>
          <w:p w14:paraId="064A42D4" w14:textId="77777777" w:rsidR="00D951BD" w:rsidRDefault="00000000">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-Thayer, Bradley A. </w:t>
            </w:r>
            <w:r>
              <w:rPr>
                <w:rFonts w:ascii="Times New Roman" w:eastAsia="Times New Roman" w:hAnsi="Times New Roman" w:cs="Times New Roman"/>
                <w:i/>
                <w:iCs/>
                <w:highlight w:val="white"/>
              </w:rPr>
              <w:t>The Pax Americana and the Middle East: U.S. Grand Strategic Interests in the Region After September 11</w:t>
            </w:r>
            <w:r>
              <w:rPr>
                <w:rFonts w:ascii="Times New Roman" w:eastAsia="Times New Roman" w:hAnsi="Times New Roman" w:cs="Times New Roman"/>
                <w:highlight w:val="white"/>
              </w:rPr>
              <w:t>. Begin-Sadat Center for Strategic Studies, 2003.</w:t>
            </w:r>
            <w:hyperlink r:id="rId9">
              <w:r>
                <w:rPr>
                  <w:rFonts w:ascii="Times New Roman" w:eastAsia="Times New Roman" w:hAnsi="Times New Roman" w:cs="Times New Roman"/>
                  <w:highlight w:val="white"/>
                </w:rPr>
                <w:t xml:space="preserve"> </w:t>
              </w:r>
            </w:hyperlink>
            <w:hyperlink r:id="rId10">
              <w:r>
                <w:rPr>
                  <w:rFonts w:ascii="Times New Roman" w:eastAsia="Times New Roman" w:hAnsi="Times New Roman" w:cs="Times New Roman"/>
                  <w:color w:val="1155CC"/>
                  <w:highlight w:val="white"/>
                  <w:u w:val="single"/>
                </w:rPr>
                <w:t>http://www.jstor.org/stable/resrep04283</w:t>
              </w:r>
            </w:hyperlink>
            <w:r>
              <w:rPr>
                <w:rFonts w:ascii="Times New Roman" w:eastAsia="Times New Roman" w:hAnsi="Times New Roman" w:cs="Times New Roman"/>
                <w:highlight w:val="white"/>
              </w:rPr>
              <w:t>.</w:t>
            </w:r>
          </w:p>
        </w:tc>
        <w:tc>
          <w:tcPr>
            <w:tcW w:w="2759" w:type="dxa"/>
            <w:tcBorders>
              <w:bottom w:val="single" w:sz="8" w:space="0" w:color="000000"/>
              <w:right w:val="single" w:sz="8" w:space="0" w:color="000000"/>
            </w:tcBorders>
            <w:tcMar>
              <w:top w:w="0" w:type="dxa"/>
              <w:left w:w="100" w:type="dxa"/>
              <w:bottom w:w="0" w:type="dxa"/>
              <w:right w:w="100" w:type="dxa"/>
            </w:tcMar>
          </w:tcPr>
          <w:p w14:paraId="69F267D9"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Post-Cold War Middle Regional Order</w:t>
            </w:r>
          </w:p>
          <w:p w14:paraId="1386EFD0"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-Rise and Fall of Euphoria of Peace</w:t>
            </w:r>
          </w:p>
          <w:p w14:paraId="3AAABB54"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-Pax Americana and the Gulf Crisis (1990-1991)</w:t>
            </w:r>
          </w:p>
          <w:p w14:paraId="42E16B45"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-Debates on the “globalizing Middle East”</w:t>
            </w:r>
          </w:p>
          <w:p w14:paraId="5CDD032B"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5CF5EF1"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Prof. Dr. Nur </w:t>
            </w:r>
            <w:proofErr w:type="spellStart"/>
            <w:r>
              <w:rPr>
                <w:rFonts w:ascii="Times New Roman" w:eastAsia="Times New Roman" w:hAnsi="Times New Roman" w:cs="Times New Roman"/>
              </w:rPr>
              <w:t>Köprülü</w:t>
            </w:r>
            <w:proofErr w:type="spellEnd"/>
          </w:p>
        </w:tc>
      </w:tr>
      <w:tr w:rsidR="00D951BD" w14:paraId="15B57B31" w14:textId="77777777">
        <w:trPr>
          <w:trHeight w:val="445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7688A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 </w:t>
            </w:r>
          </w:p>
          <w:p w14:paraId="2C659E60"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p w14:paraId="5179A0B1"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6 May 2026</w:t>
            </w:r>
          </w:p>
        </w:tc>
        <w:tc>
          <w:tcPr>
            <w:tcW w:w="5607" w:type="dxa"/>
            <w:tcBorders>
              <w:bottom w:val="single" w:sz="8" w:space="0" w:color="000000"/>
              <w:right w:val="single" w:sz="8" w:space="0" w:color="000000"/>
            </w:tcBorders>
            <w:tcMar>
              <w:top w:w="0" w:type="dxa"/>
              <w:left w:w="100" w:type="dxa"/>
              <w:bottom w:w="0" w:type="dxa"/>
              <w:right w:w="100" w:type="dxa"/>
            </w:tcMar>
          </w:tcPr>
          <w:p w14:paraId="42167BA5"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73923E82" w14:textId="77777777" w:rsidR="00D951BD" w:rsidRDefault="00000000">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rPr>
              <w:t>-</w:t>
            </w:r>
            <w:r>
              <w:rPr>
                <w:rFonts w:ascii="Times New Roman" w:eastAsia="Times New Roman" w:hAnsi="Times New Roman" w:cs="Times New Roman"/>
                <w:highlight w:val="white"/>
              </w:rPr>
              <w:t xml:space="preserve">Mustapha Kamel Al-Sayyid, </w:t>
            </w:r>
            <w:proofErr w:type="spellStart"/>
            <w:r>
              <w:rPr>
                <w:rFonts w:ascii="Times New Roman" w:eastAsia="Times New Roman" w:hAnsi="Times New Roman" w:cs="Times New Roman"/>
                <w:highlight w:val="white"/>
              </w:rPr>
              <w:t>Baktiari</w:t>
            </w:r>
            <w:proofErr w:type="spellEnd"/>
            <w:r>
              <w:rPr>
                <w:rFonts w:ascii="Times New Roman" w:eastAsia="Times New Roman" w:hAnsi="Times New Roman" w:cs="Times New Roman"/>
                <w:highlight w:val="white"/>
              </w:rPr>
              <w:t>, B., Barnett, M.,</w:t>
            </w:r>
          </w:p>
          <w:p w14:paraId="4C74EBB3" w14:textId="77777777" w:rsidR="00D951BD" w:rsidRDefault="00000000">
            <w:pPr>
              <w:ind w:right="620"/>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Hegasy</w:t>
            </w:r>
            <w:proofErr w:type="spellEnd"/>
            <w:r>
              <w:rPr>
                <w:rFonts w:ascii="Times New Roman" w:eastAsia="Times New Roman" w:hAnsi="Times New Roman" w:cs="Times New Roman"/>
                <w:highlight w:val="white"/>
              </w:rPr>
              <w:t>, S., &amp; al, e., “The Impact of 9/11 on the Middle East”.</w:t>
            </w:r>
            <w:r>
              <w:rPr>
                <w:rFonts w:ascii="Times New Roman" w:eastAsia="Times New Roman" w:hAnsi="Times New Roman" w:cs="Times New Roman"/>
                <w:i/>
                <w:iCs/>
              </w:rPr>
              <w:t xml:space="preserve"> Middle East Policy, 9</w:t>
            </w:r>
            <w:r>
              <w:rPr>
                <w:rFonts w:ascii="Times New Roman" w:eastAsia="Times New Roman" w:hAnsi="Times New Roman" w:cs="Times New Roman"/>
                <w:highlight w:val="white"/>
              </w:rPr>
              <w:t>(4), 2002, 75-101.</w:t>
            </w:r>
          </w:p>
          <w:p w14:paraId="3C831036"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color w:val="222222"/>
                <w:highlight w:val="white"/>
              </w:rPr>
              <w:t>Dalacoura</w:t>
            </w:r>
            <w:proofErr w:type="spellEnd"/>
            <w:r>
              <w:rPr>
                <w:rFonts w:ascii="Times New Roman" w:eastAsia="Times New Roman" w:hAnsi="Times New Roman" w:cs="Times New Roman"/>
                <w:color w:val="222222"/>
                <w:highlight w:val="white"/>
              </w:rPr>
              <w:t xml:space="preserve">, Katerina. "US democracy promotion in the Arab Middle East since 11 September 2001: a critique." </w:t>
            </w:r>
            <w:r>
              <w:rPr>
                <w:rFonts w:ascii="Times New Roman" w:eastAsia="Times New Roman" w:hAnsi="Times New Roman" w:cs="Times New Roman"/>
                <w:i/>
                <w:iCs/>
              </w:rPr>
              <w:t>International affairs</w:t>
            </w:r>
            <w:r>
              <w:rPr>
                <w:rFonts w:ascii="Times New Roman" w:eastAsia="Times New Roman" w:hAnsi="Times New Roman" w:cs="Times New Roman"/>
              </w:rPr>
              <w:t xml:space="preserve"> 81.5 (2005): 963-979.</w:t>
            </w:r>
          </w:p>
          <w:p w14:paraId="0B11CDD3"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-Gregory Gause III, “Beyond Sectarianism: The New Middle East Cold War”, Brookings, 2014.</w:t>
            </w:r>
          </w:p>
          <w:p w14:paraId="4511C1D6" w14:textId="77777777" w:rsidR="00D951BD" w:rsidRDefault="00000000">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Morten </w:t>
            </w:r>
            <w:proofErr w:type="spellStart"/>
            <w:r>
              <w:rPr>
                <w:rFonts w:ascii="Times New Roman" w:eastAsia="Times New Roman" w:hAnsi="Times New Roman" w:cs="Times New Roman"/>
              </w:rPr>
              <w:t>Volbjorn</w:t>
            </w:r>
            <w:proofErr w:type="spellEnd"/>
            <w:r>
              <w:rPr>
                <w:rFonts w:ascii="Times New Roman" w:eastAsia="Times New Roman" w:hAnsi="Times New Roman" w:cs="Times New Roman"/>
              </w:rPr>
              <w:t xml:space="preserve">, Andre Bank, “The New Arab Cold War: Rediscovering the Arab Dimension of the Middle East Regional Order”, </w:t>
            </w:r>
            <w:r>
              <w:rPr>
                <w:rFonts w:ascii="Times New Roman" w:eastAsia="Times New Roman" w:hAnsi="Times New Roman" w:cs="Times New Roman"/>
                <w:i/>
                <w:iCs/>
              </w:rPr>
              <w:t>Review of International Studies</w:t>
            </w:r>
            <w:r>
              <w:rPr>
                <w:rFonts w:ascii="Times New Roman" w:eastAsia="Times New Roman" w:hAnsi="Times New Roman" w:cs="Times New Roman"/>
              </w:rPr>
              <w:t>, 2012.</w:t>
            </w:r>
          </w:p>
        </w:tc>
        <w:tc>
          <w:tcPr>
            <w:tcW w:w="2759" w:type="dxa"/>
            <w:tcBorders>
              <w:bottom w:val="single" w:sz="8" w:space="0" w:color="000000"/>
              <w:right w:val="single" w:sz="8" w:space="0" w:color="000000"/>
            </w:tcBorders>
            <w:tcMar>
              <w:top w:w="0" w:type="dxa"/>
              <w:left w:w="100" w:type="dxa"/>
              <w:bottom w:w="0" w:type="dxa"/>
              <w:right w:w="100" w:type="dxa"/>
            </w:tcMar>
          </w:tcPr>
          <w:p w14:paraId="554612B2"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“The New Middle East” - 9/11 and Beyond</w:t>
            </w:r>
          </w:p>
          <w:p w14:paraId="7C481C57"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-2003 Iraq War</w:t>
            </w:r>
          </w:p>
          <w:p w14:paraId="75742219"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-Discussion on Sectarianism in Regional Politics</w:t>
            </w:r>
          </w:p>
          <w:p w14:paraId="034D19E3"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3FE6D63B"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Prof. Dr. Özlem Tür</w:t>
            </w:r>
          </w:p>
        </w:tc>
      </w:tr>
      <w:tr w:rsidR="00D951BD" w14:paraId="6040258D" w14:textId="77777777">
        <w:trPr>
          <w:trHeight w:val="780"/>
        </w:trPr>
        <w:tc>
          <w:tcPr>
            <w:tcW w:w="9359" w:type="dxa"/>
            <w:gridSpan w:val="3"/>
            <w:tcBorders>
              <w:bottom w:val="single" w:sz="8" w:space="0" w:color="000000"/>
            </w:tcBorders>
            <w:tcMar>
              <w:top w:w="0" w:type="dxa"/>
              <w:left w:w="100" w:type="dxa"/>
              <w:bottom w:w="0" w:type="dxa"/>
              <w:right w:w="100" w:type="dxa"/>
            </w:tcMar>
          </w:tcPr>
          <w:p w14:paraId="6E43C48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p w14:paraId="38D7D5BF" w14:textId="77777777" w:rsidR="00D951BD" w:rsidRDefault="00D951BD">
            <w:pPr>
              <w:rPr>
                <w:rFonts w:ascii="Times New Roman" w:eastAsia="Times New Roman" w:hAnsi="Times New Roman" w:cs="Times New Roman"/>
                <w:b/>
                <w:bCs/>
              </w:rPr>
            </w:pPr>
          </w:p>
          <w:p w14:paraId="4B2FE4B7" w14:textId="77777777" w:rsidR="00D951BD" w:rsidRDefault="00D951BD">
            <w:pPr>
              <w:rPr>
                <w:rFonts w:ascii="Times New Roman" w:eastAsia="Times New Roman" w:hAnsi="Times New Roman" w:cs="Times New Roman"/>
                <w:b/>
                <w:bCs/>
              </w:rPr>
            </w:pPr>
          </w:p>
          <w:p w14:paraId="076622A4" w14:textId="77777777" w:rsidR="00D951BD" w:rsidRDefault="00D951BD">
            <w:pPr>
              <w:rPr>
                <w:rFonts w:ascii="Times New Roman" w:eastAsia="Times New Roman" w:hAnsi="Times New Roman" w:cs="Times New Roman"/>
                <w:b/>
                <w:bCs/>
              </w:rPr>
            </w:pPr>
          </w:p>
          <w:p w14:paraId="744B9F1A" w14:textId="77777777" w:rsidR="00D951BD" w:rsidRDefault="00D951BD">
            <w:pPr>
              <w:rPr>
                <w:rFonts w:ascii="Times New Roman" w:eastAsia="Times New Roman" w:hAnsi="Times New Roman" w:cs="Times New Roman"/>
                <w:b/>
                <w:bCs/>
              </w:rPr>
            </w:pPr>
          </w:p>
          <w:p w14:paraId="1423AB20" w14:textId="77777777" w:rsidR="00D951BD" w:rsidRDefault="00D951BD">
            <w:pPr>
              <w:rPr>
                <w:rFonts w:ascii="Times New Roman" w:eastAsia="Times New Roman" w:hAnsi="Times New Roman" w:cs="Times New Roman"/>
                <w:b/>
                <w:bCs/>
              </w:rPr>
            </w:pPr>
          </w:p>
          <w:p w14:paraId="376895B6" w14:textId="77777777" w:rsidR="00D951BD" w:rsidRDefault="00D951BD">
            <w:pPr>
              <w:rPr>
                <w:rFonts w:ascii="Times New Roman" w:eastAsia="Times New Roman" w:hAnsi="Times New Roman" w:cs="Times New Roman"/>
                <w:b/>
                <w:bCs/>
              </w:rPr>
            </w:pPr>
          </w:p>
          <w:p w14:paraId="42442B9A" w14:textId="77777777" w:rsidR="00D951BD" w:rsidRDefault="00D951BD">
            <w:pPr>
              <w:rPr>
                <w:rFonts w:ascii="Times New Roman" w:eastAsia="Times New Roman" w:hAnsi="Times New Roman" w:cs="Times New Roman"/>
                <w:b/>
                <w:bCs/>
              </w:rPr>
            </w:pPr>
          </w:p>
          <w:p w14:paraId="4C498D88" w14:textId="77777777" w:rsidR="00D951BD" w:rsidRDefault="00D951BD">
            <w:pPr>
              <w:rPr>
                <w:rFonts w:ascii="Times New Roman" w:eastAsia="Times New Roman" w:hAnsi="Times New Roman" w:cs="Times New Roman"/>
                <w:b/>
                <w:bCs/>
              </w:rPr>
            </w:pPr>
          </w:p>
          <w:p w14:paraId="3CC78B66" w14:textId="77777777" w:rsidR="00D951BD" w:rsidRDefault="00D951BD">
            <w:pPr>
              <w:rPr>
                <w:rFonts w:ascii="Times New Roman" w:eastAsia="Times New Roman" w:hAnsi="Times New Roman" w:cs="Times New Roman"/>
                <w:b/>
                <w:bCs/>
              </w:rPr>
            </w:pPr>
          </w:p>
          <w:p w14:paraId="4E3B9E99" w14:textId="77777777" w:rsidR="00D951BD" w:rsidRDefault="00000000">
            <w:pPr>
              <w:rPr>
                <w:rFonts w:ascii="Times New Roman" w:eastAsia="Times New Roman" w:hAnsi="Times New Roman" w:cs="Times New Roman"/>
              </w:rPr>
            </w:pPr>
            <w:r>
              <w:rPr>
                <w:rFonts w:ascii="Times New Roman" w:eastAsia="Times New Roman" w:hAnsi="Times New Roman" w:cs="Times New Roman"/>
                <w:b/>
                <w:bCs/>
              </w:rPr>
              <w:t>PHYSICAL MOBILITY (</w:t>
            </w:r>
            <w:r>
              <w:rPr>
                <w:rFonts w:ascii="Times New Roman" w:eastAsia="Times New Roman" w:hAnsi="Times New Roman" w:cs="Times New Roman"/>
              </w:rPr>
              <w:t>21 hours in Bodrum/Türkiye)</w:t>
            </w:r>
          </w:p>
        </w:tc>
      </w:tr>
      <w:tr w:rsidR="00D951BD" w14:paraId="3397E0D1" w14:textId="77777777">
        <w:trPr>
          <w:trHeight w:val="52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ED877D"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10 May 2026</w:t>
            </w:r>
          </w:p>
        </w:tc>
        <w:tc>
          <w:tcPr>
            <w:tcW w:w="5607" w:type="dxa"/>
            <w:tcBorders>
              <w:bottom w:val="single" w:sz="8" w:space="0" w:color="000000"/>
              <w:right w:val="single" w:sz="8" w:space="0" w:color="000000"/>
            </w:tcBorders>
            <w:tcMar>
              <w:top w:w="0" w:type="dxa"/>
              <w:left w:w="100" w:type="dxa"/>
              <w:bottom w:w="0" w:type="dxa"/>
              <w:right w:w="100" w:type="dxa"/>
            </w:tcMar>
          </w:tcPr>
          <w:p w14:paraId="0E738428"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Arrivals</w:t>
            </w:r>
          </w:p>
          <w:p w14:paraId="00A1996C"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2759" w:type="dxa"/>
            <w:tcBorders>
              <w:bottom w:val="single" w:sz="8" w:space="0" w:color="000000"/>
              <w:right w:val="single" w:sz="8" w:space="0" w:color="000000"/>
            </w:tcBorders>
            <w:tcMar>
              <w:top w:w="0" w:type="dxa"/>
              <w:left w:w="100" w:type="dxa"/>
              <w:bottom w:w="0" w:type="dxa"/>
              <w:right w:w="100" w:type="dxa"/>
            </w:tcMar>
          </w:tcPr>
          <w:p w14:paraId="52878220"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r>
      <w:tr w:rsidR="00D951BD" w14:paraId="7F5B3E66" w14:textId="77777777">
        <w:trPr>
          <w:trHeight w:val="313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987309"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11 May 2026</w:t>
            </w:r>
          </w:p>
        </w:tc>
        <w:tc>
          <w:tcPr>
            <w:tcW w:w="5607" w:type="dxa"/>
            <w:tcBorders>
              <w:bottom w:val="single" w:sz="8" w:space="0" w:color="000000"/>
              <w:right w:val="single" w:sz="8" w:space="0" w:color="000000"/>
            </w:tcBorders>
            <w:tcMar>
              <w:top w:w="0" w:type="dxa"/>
              <w:left w:w="100" w:type="dxa"/>
              <w:bottom w:w="0" w:type="dxa"/>
              <w:right w:w="100" w:type="dxa"/>
            </w:tcMar>
          </w:tcPr>
          <w:p w14:paraId="47821A8D"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In-person</w:t>
            </w:r>
          </w:p>
        </w:tc>
        <w:tc>
          <w:tcPr>
            <w:tcW w:w="2759" w:type="dxa"/>
            <w:tcBorders>
              <w:bottom w:val="single" w:sz="8" w:space="0" w:color="000000"/>
              <w:right w:val="single" w:sz="8" w:space="0" w:color="000000"/>
            </w:tcBorders>
            <w:tcMar>
              <w:top w:w="0" w:type="dxa"/>
              <w:left w:w="100" w:type="dxa"/>
              <w:bottom w:w="0" w:type="dxa"/>
              <w:right w:w="100" w:type="dxa"/>
            </w:tcMar>
          </w:tcPr>
          <w:p w14:paraId="65417DD8"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Meeting and Introduction</w:t>
            </w:r>
          </w:p>
          <w:p w14:paraId="1C85B385"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w:t>
            </w:r>
          </w:p>
          <w:p w14:paraId="5044A5F2"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The Arab Uprisings: A Quest for Change?</w:t>
            </w:r>
          </w:p>
          <w:p w14:paraId="749F0A54"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-Comparative politics: Egypt, Tunisia, Jordan</w:t>
            </w:r>
          </w:p>
          <w:p w14:paraId="145C3B6B"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-Changes in regional power distribution/geopolitical implications: revolution vs. counter revolution</w:t>
            </w:r>
          </w:p>
          <w:p w14:paraId="316037F0"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34EB147"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Prof. Dr. Nur </w:t>
            </w:r>
            <w:proofErr w:type="spellStart"/>
            <w:r>
              <w:rPr>
                <w:rFonts w:ascii="Times New Roman" w:eastAsia="Times New Roman" w:hAnsi="Times New Roman" w:cs="Times New Roman"/>
              </w:rPr>
              <w:t>Köprülü</w:t>
            </w:r>
            <w:proofErr w:type="spellEnd"/>
          </w:p>
          <w:p w14:paraId="0CF3C863"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Assist. Prof. Dr. </w:t>
            </w:r>
            <w:proofErr w:type="spellStart"/>
            <w:r>
              <w:rPr>
                <w:rFonts w:ascii="Times New Roman" w:eastAsia="Times New Roman" w:hAnsi="Times New Roman" w:cs="Times New Roman"/>
              </w:rPr>
              <w:t>Gülriz</w:t>
            </w:r>
            <w:proofErr w:type="spellEnd"/>
            <w:r>
              <w:rPr>
                <w:rFonts w:ascii="Times New Roman" w:eastAsia="Times New Roman" w:hAnsi="Times New Roman" w:cs="Times New Roman"/>
              </w:rPr>
              <w:t xml:space="preserve"> Şen</w:t>
            </w:r>
          </w:p>
        </w:tc>
      </w:tr>
      <w:tr w:rsidR="00D951BD" w14:paraId="646D313F" w14:textId="77777777">
        <w:trPr>
          <w:trHeight w:val="265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75D759"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lastRenderedPageBreak/>
              <w:t>12 May 2026</w:t>
            </w:r>
          </w:p>
        </w:tc>
        <w:tc>
          <w:tcPr>
            <w:tcW w:w="5607" w:type="dxa"/>
            <w:tcBorders>
              <w:bottom w:val="single" w:sz="8" w:space="0" w:color="000000"/>
              <w:right w:val="single" w:sz="8" w:space="0" w:color="000000"/>
            </w:tcBorders>
            <w:tcMar>
              <w:top w:w="0" w:type="dxa"/>
              <w:left w:w="100" w:type="dxa"/>
              <w:bottom w:w="0" w:type="dxa"/>
              <w:right w:w="100" w:type="dxa"/>
            </w:tcMar>
          </w:tcPr>
          <w:p w14:paraId="45D35AC2"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In-person</w:t>
            </w:r>
          </w:p>
        </w:tc>
        <w:tc>
          <w:tcPr>
            <w:tcW w:w="2759" w:type="dxa"/>
            <w:tcBorders>
              <w:bottom w:val="single" w:sz="8" w:space="0" w:color="000000"/>
              <w:right w:val="single" w:sz="8" w:space="0" w:color="000000"/>
            </w:tcBorders>
            <w:tcMar>
              <w:top w:w="0" w:type="dxa"/>
              <w:left w:w="100" w:type="dxa"/>
              <w:bottom w:w="0" w:type="dxa"/>
              <w:right w:w="100" w:type="dxa"/>
            </w:tcMar>
          </w:tcPr>
          <w:p w14:paraId="584D8DC1"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Post-2020 Middle East: Normalization, War and Displacement</w:t>
            </w:r>
          </w:p>
          <w:p w14:paraId="324417AE"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-Abraham Accords</w:t>
            </w:r>
          </w:p>
          <w:p w14:paraId="794D3DA2"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-The Gaza War</w:t>
            </w:r>
          </w:p>
          <w:p w14:paraId="23425E5F"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-Post-October 7 Middle East Regional Order</w:t>
            </w:r>
          </w:p>
          <w:p w14:paraId="442B395B"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49441F8A"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Prof. Dr. Özlem Tür</w:t>
            </w:r>
          </w:p>
          <w:p w14:paraId="557AD5E9"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Assoc. Prof. Dr. Tuğçe Ersoy Ceylan</w:t>
            </w:r>
          </w:p>
        </w:tc>
      </w:tr>
      <w:tr w:rsidR="00D951BD" w14:paraId="06605E8E" w14:textId="77777777">
        <w:trPr>
          <w:trHeight w:val="265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07236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13 May 2026</w:t>
            </w:r>
          </w:p>
        </w:tc>
        <w:tc>
          <w:tcPr>
            <w:tcW w:w="5607" w:type="dxa"/>
            <w:tcBorders>
              <w:bottom w:val="single" w:sz="8" w:space="0" w:color="000000"/>
              <w:right w:val="single" w:sz="8" w:space="0" w:color="000000"/>
            </w:tcBorders>
            <w:tcMar>
              <w:top w:w="0" w:type="dxa"/>
              <w:left w:w="100" w:type="dxa"/>
              <w:bottom w:w="0" w:type="dxa"/>
              <w:right w:w="100" w:type="dxa"/>
            </w:tcMar>
          </w:tcPr>
          <w:p w14:paraId="48E67811"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In-person</w:t>
            </w:r>
          </w:p>
          <w:p w14:paraId="4C9906DB"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2759" w:type="dxa"/>
            <w:tcBorders>
              <w:bottom w:val="single" w:sz="8" w:space="0" w:color="000000"/>
              <w:right w:val="single" w:sz="8" w:space="0" w:color="000000"/>
            </w:tcBorders>
            <w:tcMar>
              <w:top w:w="0" w:type="dxa"/>
              <w:left w:w="100" w:type="dxa"/>
              <w:bottom w:w="0" w:type="dxa"/>
              <w:right w:w="100" w:type="dxa"/>
            </w:tcMar>
          </w:tcPr>
          <w:p w14:paraId="25A8E1DE"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From Deterrence to War: Iran and Israel After October 7</w:t>
            </w:r>
          </w:p>
          <w:p w14:paraId="5AEDC11D"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-Iranian Politics and Foreign Policy</w:t>
            </w:r>
          </w:p>
          <w:p w14:paraId="6E16499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-Israeli Politics and Foreign Policy</w:t>
            </w:r>
          </w:p>
          <w:p w14:paraId="68129181"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B64E5BF"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Assist. Prof. Dr. </w:t>
            </w:r>
            <w:proofErr w:type="spellStart"/>
            <w:r>
              <w:rPr>
                <w:rFonts w:ascii="Times New Roman" w:eastAsia="Times New Roman" w:hAnsi="Times New Roman" w:cs="Times New Roman"/>
              </w:rPr>
              <w:t>Gülriz</w:t>
            </w:r>
            <w:proofErr w:type="spellEnd"/>
            <w:r>
              <w:rPr>
                <w:rFonts w:ascii="Times New Roman" w:eastAsia="Times New Roman" w:hAnsi="Times New Roman" w:cs="Times New Roman"/>
              </w:rPr>
              <w:t xml:space="preserve"> Şen</w:t>
            </w:r>
          </w:p>
          <w:p w14:paraId="58CE88BB"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Assoc. Prof. Dr. Tuğçe Ersoy Ceylan</w:t>
            </w:r>
          </w:p>
        </w:tc>
      </w:tr>
      <w:tr w:rsidR="00D951BD" w14:paraId="490E1424" w14:textId="77777777">
        <w:trPr>
          <w:trHeight w:val="289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A18214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14 May 2026</w:t>
            </w:r>
          </w:p>
        </w:tc>
        <w:tc>
          <w:tcPr>
            <w:tcW w:w="5607" w:type="dxa"/>
            <w:tcBorders>
              <w:bottom w:val="single" w:sz="8" w:space="0" w:color="000000"/>
              <w:right w:val="single" w:sz="8" w:space="0" w:color="000000"/>
            </w:tcBorders>
            <w:tcMar>
              <w:top w:w="0" w:type="dxa"/>
              <w:left w:w="100" w:type="dxa"/>
              <w:bottom w:w="0" w:type="dxa"/>
              <w:right w:w="100" w:type="dxa"/>
            </w:tcMar>
          </w:tcPr>
          <w:p w14:paraId="4AC1D419"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In-person</w:t>
            </w:r>
          </w:p>
          <w:p w14:paraId="08F2901D"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C8F5185"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2759" w:type="dxa"/>
            <w:tcBorders>
              <w:bottom w:val="single" w:sz="8" w:space="0" w:color="000000"/>
              <w:right w:val="single" w:sz="8" w:space="0" w:color="000000"/>
            </w:tcBorders>
            <w:tcMar>
              <w:top w:w="0" w:type="dxa"/>
              <w:left w:w="100" w:type="dxa"/>
              <w:bottom w:w="0" w:type="dxa"/>
              <w:right w:w="100" w:type="dxa"/>
            </w:tcMar>
          </w:tcPr>
          <w:p w14:paraId="013742DF"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US/Israel War on Iran</w:t>
            </w:r>
          </w:p>
          <w:p w14:paraId="400D1989"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-The War: Reasons and Trajectory</w:t>
            </w:r>
          </w:p>
          <w:p w14:paraId="51998346"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-Regional and Global Actors in the War</w:t>
            </w:r>
          </w:p>
          <w:p w14:paraId="094DE5F5"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-Implications for the future of the regional order</w:t>
            </w:r>
          </w:p>
          <w:p w14:paraId="0C7B8D19"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Prof. Dr. Özlem Tür</w:t>
            </w:r>
          </w:p>
          <w:p w14:paraId="7AE0A82F"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Prof. Dr. Nur </w:t>
            </w:r>
            <w:proofErr w:type="spellStart"/>
            <w:r>
              <w:rPr>
                <w:rFonts w:ascii="Times New Roman" w:eastAsia="Times New Roman" w:hAnsi="Times New Roman" w:cs="Times New Roman"/>
              </w:rPr>
              <w:t>Köprülü</w:t>
            </w:r>
            <w:proofErr w:type="spellEnd"/>
          </w:p>
          <w:p w14:paraId="17A10472"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Assoc. Prof. Dr. Tuğçe Ersoy Ceylan</w:t>
            </w:r>
          </w:p>
          <w:p w14:paraId="17343626"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Assist. Prof. Dr. </w:t>
            </w:r>
            <w:proofErr w:type="spellStart"/>
            <w:r>
              <w:rPr>
                <w:rFonts w:ascii="Times New Roman" w:eastAsia="Times New Roman" w:hAnsi="Times New Roman" w:cs="Times New Roman"/>
              </w:rPr>
              <w:t>Gülriz</w:t>
            </w:r>
            <w:proofErr w:type="spellEnd"/>
            <w:r>
              <w:rPr>
                <w:rFonts w:ascii="Times New Roman" w:eastAsia="Times New Roman" w:hAnsi="Times New Roman" w:cs="Times New Roman"/>
              </w:rPr>
              <w:t xml:space="preserve"> Şen</w:t>
            </w:r>
          </w:p>
        </w:tc>
      </w:tr>
      <w:tr w:rsidR="00D951BD" w14:paraId="6E8EAC9C" w14:textId="77777777">
        <w:trPr>
          <w:trHeight w:val="73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2775BB"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15 May 2026</w:t>
            </w:r>
          </w:p>
        </w:tc>
        <w:tc>
          <w:tcPr>
            <w:tcW w:w="5607" w:type="dxa"/>
            <w:tcBorders>
              <w:bottom w:val="single" w:sz="8" w:space="0" w:color="000000"/>
              <w:right w:val="single" w:sz="8" w:space="0" w:color="000000"/>
            </w:tcBorders>
            <w:tcMar>
              <w:top w:w="0" w:type="dxa"/>
              <w:left w:w="100" w:type="dxa"/>
              <w:bottom w:w="0" w:type="dxa"/>
              <w:right w:w="100" w:type="dxa"/>
            </w:tcMar>
          </w:tcPr>
          <w:p w14:paraId="50DC59CE"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In-person </w:t>
            </w:r>
          </w:p>
        </w:tc>
        <w:tc>
          <w:tcPr>
            <w:tcW w:w="2759" w:type="dxa"/>
            <w:tcBorders>
              <w:bottom w:val="single" w:sz="8" w:space="0" w:color="000000"/>
              <w:right w:val="single" w:sz="8" w:space="0" w:color="000000"/>
            </w:tcBorders>
            <w:tcMar>
              <w:top w:w="0" w:type="dxa"/>
              <w:left w:w="100" w:type="dxa"/>
              <w:bottom w:w="0" w:type="dxa"/>
              <w:right w:w="100" w:type="dxa"/>
            </w:tcMar>
          </w:tcPr>
          <w:p w14:paraId="306E09A1"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Issues of Global and Regional Security</w:t>
            </w:r>
          </w:p>
          <w:p w14:paraId="08743E82"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Prof. Dr. Haldun Yalçınkaya</w:t>
            </w:r>
          </w:p>
        </w:tc>
      </w:tr>
      <w:tr w:rsidR="00D951BD" w14:paraId="523245AB" w14:textId="77777777">
        <w:trPr>
          <w:trHeight w:val="52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80BD07"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16 May 2026</w:t>
            </w:r>
          </w:p>
        </w:tc>
        <w:tc>
          <w:tcPr>
            <w:tcW w:w="5607" w:type="dxa"/>
            <w:tcBorders>
              <w:bottom w:val="single" w:sz="8" w:space="0" w:color="000000"/>
              <w:right w:val="single" w:sz="8" w:space="0" w:color="000000"/>
            </w:tcBorders>
            <w:tcMar>
              <w:top w:w="0" w:type="dxa"/>
              <w:left w:w="100" w:type="dxa"/>
              <w:bottom w:w="0" w:type="dxa"/>
              <w:right w:w="100" w:type="dxa"/>
            </w:tcMar>
          </w:tcPr>
          <w:p w14:paraId="4FE0A602"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2759" w:type="dxa"/>
            <w:tcBorders>
              <w:bottom w:val="single" w:sz="8" w:space="0" w:color="000000"/>
              <w:right w:val="single" w:sz="8" w:space="0" w:color="000000"/>
            </w:tcBorders>
            <w:tcMar>
              <w:top w:w="0" w:type="dxa"/>
              <w:left w:w="100" w:type="dxa"/>
              <w:bottom w:w="0" w:type="dxa"/>
              <w:right w:w="100" w:type="dxa"/>
            </w:tcMar>
          </w:tcPr>
          <w:p w14:paraId="784D8D4A"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 Departures</w:t>
            </w:r>
          </w:p>
        </w:tc>
      </w:tr>
      <w:tr w:rsidR="00D951BD" w14:paraId="7E0B9A5D" w14:textId="77777777">
        <w:trPr>
          <w:trHeight w:val="735"/>
        </w:trPr>
        <w:tc>
          <w:tcPr>
            <w:tcW w:w="993" w:type="dxa"/>
            <w:tcBorders>
              <w:left w:val="single" w:sz="8" w:space="0" w:color="000000"/>
              <w:bottom w:val="single" w:sz="8" w:space="0" w:color="000000"/>
              <w:right w:val="single" w:sz="8" w:space="0" w:color="000000"/>
            </w:tcBorders>
            <w:tcMar>
              <w:top w:w="0" w:type="dxa"/>
              <w:left w:w="100" w:type="dxa"/>
              <w:bottom w:w="0" w:type="dxa"/>
              <w:right w:w="100" w:type="dxa"/>
            </w:tcMar>
          </w:tcPr>
          <w:p w14:paraId="6DA79FA3" w14:textId="77777777" w:rsidR="00D951BD" w:rsidRDefault="00000000">
            <w:pPr>
              <w:rPr>
                <w:rFonts w:ascii="Times New Roman" w:eastAsia="Times New Roman" w:hAnsi="Times New Roman" w:cs="Times New Roman"/>
                <w:b/>
                <w:bCs/>
              </w:rPr>
            </w:pPr>
            <w:proofErr w:type="spellStart"/>
            <w:r>
              <w:rPr>
                <w:rFonts w:ascii="Times New Roman" w:eastAsia="Times New Roman" w:hAnsi="Times New Roman" w:cs="Times New Roman"/>
                <w:b/>
                <w:bCs/>
              </w:rPr>
              <w:t>tbd</w:t>
            </w:r>
            <w:proofErr w:type="spellEnd"/>
          </w:p>
        </w:tc>
        <w:tc>
          <w:tcPr>
            <w:tcW w:w="5607" w:type="dxa"/>
            <w:tcBorders>
              <w:bottom w:val="single" w:sz="8" w:space="0" w:color="000000"/>
              <w:right w:val="single" w:sz="8" w:space="0" w:color="000000"/>
            </w:tcBorders>
            <w:tcMar>
              <w:top w:w="0" w:type="dxa"/>
              <w:left w:w="100" w:type="dxa"/>
              <w:bottom w:w="0" w:type="dxa"/>
              <w:right w:w="100" w:type="dxa"/>
            </w:tcMar>
          </w:tcPr>
          <w:p w14:paraId="52A42D58" w14:textId="77777777" w:rsidR="00D951BD" w:rsidRDefault="00D951BD"/>
        </w:tc>
        <w:tc>
          <w:tcPr>
            <w:tcW w:w="2759" w:type="dxa"/>
            <w:tcBorders>
              <w:bottom w:val="single" w:sz="8" w:space="0" w:color="000000"/>
              <w:right w:val="single" w:sz="8" w:space="0" w:color="000000"/>
            </w:tcBorders>
            <w:tcMar>
              <w:top w:w="0" w:type="dxa"/>
              <w:left w:w="100" w:type="dxa"/>
              <w:bottom w:w="0" w:type="dxa"/>
              <w:right w:w="100" w:type="dxa"/>
            </w:tcMar>
          </w:tcPr>
          <w:p w14:paraId="7F6C6FD7" w14:textId="77777777" w:rsidR="00D951BD" w:rsidRDefault="00000000">
            <w:pPr>
              <w:rPr>
                <w:rFonts w:ascii="Times New Roman" w:eastAsia="Times New Roman" w:hAnsi="Times New Roman" w:cs="Times New Roman"/>
                <w:b/>
                <w:bCs/>
              </w:rPr>
            </w:pPr>
            <w:r>
              <w:rPr>
                <w:rFonts w:ascii="Times New Roman" w:eastAsia="Times New Roman" w:hAnsi="Times New Roman" w:cs="Times New Roman"/>
                <w:b/>
                <w:bCs/>
              </w:rPr>
              <w:t>On-Demand Feedback Session for Final Exam Papers</w:t>
            </w:r>
          </w:p>
        </w:tc>
      </w:tr>
    </w:tbl>
    <w:p w14:paraId="1E2DED61"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 </w:t>
      </w:r>
    </w:p>
    <w:p w14:paraId="62F864FF"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6E4784C4" w14:textId="77777777" w:rsidR="00D951BD" w:rsidRDefault="00000000">
      <w:pPr>
        <w:ind w:left="720"/>
        <w:jc w:val="both"/>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Assessment</w:t>
      </w:r>
    </w:p>
    <w:p w14:paraId="48BD5641" w14:textId="77777777" w:rsidR="00D951BD"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assessment of the term is as follows:</w:t>
      </w:r>
    </w:p>
    <w:p w14:paraId="22A2C99E" w14:textId="77777777" w:rsidR="00D951BD"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bl>
      <w:tblPr>
        <w:tblStyle w:val="a0"/>
        <w:tblW w:w="387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60"/>
        <w:gridCol w:w="810"/>
      </w:tblGrid>
      <w:tr w:rsidR="00D951BD" w14:paraId="0FA086D5" w14:textId="77777777">
        <w:trPr>
          <w:trHeight w:val="465"/>
        </w:trPr>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D693F" w14:textId="77777777" w:rsidR="00D951BD"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Attendance</w:t>
            </w:r>
          </w:p>
        </w:tc>
        <w:tc>
          <w:tcPr>
            <w:tcW w:w="8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5B6E3A" w14:textId="77777777" w:rsidR="00D951BD"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20%</w:t>
            </w:r>
          </w:p>
        </w:tc>
      </w:tr>
      <w:tr w:rsidR="00D951BD" w14:paraId="399D882C" w14:textId="77777777">
        <w:trPr>
          <w:trHeight w:val="720"/>
        </w:trPr>
        <w:tc>
          <w:tcPr>
            <w:tcW w:w="30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61521A" w14:textId="77777777" w:rsidR="00D951BD"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Participation/Quiz exams/Homework </w:t>
            </w:r>
          </w:p>
        </w:tc>
        <w:tc>
          <w:tcPr>
            <w:tcW w:w="810" w:type="dxa"/>
            <w:tcBorders>
              <w:bottom w:val="single" w:sz="8" w:space="0" w:color="000000"/>
              <w:right w:val="single" w:sz="8" w:space="0" w:color="000000"/>
            </w:tcBorders>
            <w:tcMar>
              <w:top w:w="100" w:type="dxa"/>
              <w:left w:w="100" w:type="dxa"/>
              <w:bottom w:w="100" w:type="dxa"/>
              <w:right w:w="100" w:type="dxa"/>
            </w:tcMar>
          </w:tcPr>
          <w:p w14:paraId="5C97762D" w14:textId="77777777" w:rsidR="00D951BD"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20%</w:t>
            </w:r>
          </w:p>
        </w:tc>
      </w:tr>
      <w:tr w:rsidR="00D951BD" w14:paraId="3BB13B47" w14:textId="77777777">
        <w:trPr>
          <w:trHeight w:val="720"/>
        </w:trPr>
        <w:tc>
          <w:tcPr>
            <w:tcW w:w="30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B7DC212" w14:textId="77777777" w:rsidR="00D951BD"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Research Paper and Presentation</w:t>
            </w:r>
          </w:p>
        </w:tc>
        <w:tc>
          <w:tcPr>
            <w:tcW w:w="810" w:type="dxa"/>
            <w:tcBorders>
              <w:bottom w:val="single" w:sz="8" w:space="0" w:color="000000"/>
              <w:right w:val="single" w:sz="8" w:space="0" w:color="000000"/>
            </w:tcBorders>
            <w:tcMar>
              <w:top w:w="100" w:type="dxa"/>
              <w:left w:w="100" w:type="dxa"/>
              <w:bottom w:w="100" w:type="dxa"/>
              <w:right w:w="100" w:type="dxa"/>
            </w:tcMar>
          </w:tcPr>
          <w:p w14:paraId="528B0E52" w14:textId="77777777" w:rsidR="00D951BD"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60%</w:t>
            </w:r>
          </w:p>
        </w:tc>
      </w:tr>
    </w:tbl>
    <w:p w14:paraId="193BE451" w14:textId="77777777" w:rsidR="00D951BD" w:rsidRDefault="00000000">
      <w:pPr>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 </w:t>
      </w:r>
    </w:p>
    <w:p w14:paraId="29B2C2E1" w14:textId="77777777" w:rsidR="00D951BD" w:rsidRDefault="00000000">
      <w:pPr>
        <w:ind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Students who fail to fulfil ECTS requirements will be given a signed document showing their participation.</w:t>
      </w:r>
    </w:p>
    <w:p w14:paraId="49EB0835"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58A6A442" w14:textId="77777777" w:rsidR="00D951BD" w:rsidRDefault="00D951BD">
      <w:pPr>
        <w:pStyle w:val="Heading2"/>
        <w:keepNext w:val="0"/>
        <w:keepLines w:val="0"/>
        <w:spacing w:line="259" w:lineRule="auto"/>
        <w:jc w:val="center"/>
        <w:rPr>
          <w:rFonts w:ascii="Times New Roman" w:eastAsia="Times New Roman" w:hAnsi="Times New Roman" w:cs="Times New Roman"/>
          <w:b/>
          <w:bCs/>
        </w:rPr>
      </w:pPr>
      <w:bookmarkStart w:id="1" w:name="_d1qyb9w9ya8d" w:colFirst="0" w:colLast="0"/>
      <w:bookmarkEnd w:id="1"/>
    </w:p>
    <w:p w14:paraId="0BF84B00" w14:textId="77777777" w:rsidR="00D951BD" w:rsidRDefault="00D951BD">
      <w:pPr>
        <w:pStyle w:val="Heading2"/>
        <w:keepNext w:val="0"/>
        <w:keepLines w:val="0"/>
        <w:spacing w:line="259" w:lineRule="auto"/>
        <w:jc w:val="center"/>
        <w:rPr>
          <w:rFonts w:ascii="Times New Roman" w:eastAsia="Times New Roman" w:hAnsi="Times New Roman" w:cs="Times New Roman"/>
          <w:b/>
          <w:bCs/>
        </w:rPr>
      </w:pPr>
      <w:bookmarkStart w:id="2" w:name="_f4wye49qc2uj" w:colFirst="0" w:colLast="0"/>
      <w:bookmarkEnd w:id="2"/>
    </w:p>
    <w:p w14:paraId="4F61FC5E" w14:textId="77777777" w:rsidR="00D951BD" w:rsidRDefault="00000000">
      <w:pPr>
        <w:pStyle w:val="Heading2"/>
        <w:keepNext w:val="0"/>
        <w:keepLines w:val="0"/>
        <w:spacing w:line="259" w:lineRule="auto"/>
        <w:jc w:val="center"/>
        <w:rPr>
          <w:rFonts w:ascii="Times New Roman" w:eastAsia="Times New Roman" w:hAnsi="Times New Roman" w:cs="Times New Roman"/>
          <w:b/>
          <w:bCs/>
        </w:rPr>
      </w:pPr>
      <w:bookmarkStart w:id="3" w:name="_qntg2zfvdca2" w:colFirst="0" w:colLast="0"/>
      <w:bookmarkEnd w:id="3"/>
      <w:r>
        <w:rPr>
          <w:rFonts w:ascii="Times New Roman" w:eastAsia="Times New Roman" w:hAnsi="Times New Roman" w:cs="Times New Roman"/>
          <w:b/>
          <w:bCs/>
        </w:rPr>
        <w:t>GUIDELINE FOR ULU540 FINAL ASSIGNMENT</w:t>
      </w:r>
    </w:p>
    <w:p w14:paraId="7D1B72EB" w14:textId="77777777" w:rsidR="00D951BD"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21149A3C" w14:textId="77777777" w:rsidR="00D951BD" w:rsidRDefault="00000000">
      <w:pPr>
        <w:ind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For the Final Exam, each student will choose a subject on </w:t>
      </w:r>
      <w:r>
        <w:rPr>
          <w:rFonts w:ascii="Times New Roman" w:eastAsia="Times New Roman" w:hAnsi="Times New Roman" w:cs="Times New Roman"/>
          <w:color w:val="222222"/>
        </w:rPr>
        <w:t xml:space="preserve">International Relations of the Middle </w:t>
      </w:r>
      <w:r>
        <w:rPr>
          <w:rFonts w:ascii="Times New Roman" w:eastAsia="Times New Roman" w:hAnsi="Times New Roman" w:cs="Times New Roman"/>
          <w:color w:val="222222"/>
          <w:highlight w:val="white"/>
        </w:rPr>
        <w:t xml:space="preserve">East and, with approval of the subjects and, subsequently, the content by the lecturer, you will need to submit a research paper and a video recording of yourself presenting this paper. The research paper and presentation will constitute </w:t>
      </w:r>
      <w:r>
        <w:rPr>
          <w:rFonts w:ascii="Times New Roman" w:eastAsia="Times New Roman" w:hAnsi="Times New Roman" w:cs="Times New Roman"/>
          <w:b/>
          <w:bCs/>
          <w:color w:val="222222"/>
          <w:highlight w:val="white"/>
        </w:rPr>
        <w:t>60% of your total grade</w:t>
      </w:r>
      <w:r>
        <w:rPr>
          <w:rFonts w:ascii="Times New Roman" w:eastAsia="Times New Roman" w:hAnsi="Times New Roman" w:cs="Times New Roman"/>
          <w:color w:val="222222"/>
          <w:highlight w:val="white"/>
        </w:rPr>
        <w:t xml:space="preserve">. The submission date will be no later than </w:t>
      </w:r>
      <w:r>
        <w:rPr>
          <w:rFonts w:ascii="Times New Roman" w:eastAsia="Times New Roman" w:hAnsi="Times New Roman" w:cs="Times New Roman"/>
          <w:b/>
          <w:bCs/>
          <w:color w:val="222222"/>
          <w:highlight w:val="white"/>
        </w:rPr>
        <w:t>June 11, 2026</w:t>
      </w:r>
      <w:r>
        <w:rPr>
          <w:rFonts w:ascii="Times New Roman" w:eastAsia="Times New Roman" w:hAnsi="Times New Roman" w:cs="Times New Roman"/>
          <w:color w:val="222222"/>
          <w:highlight w:val="white"/>
        </w:rPr>
        <w:t xml:space="preserve">. </w:t>
      </w:r>
    </w:p>
    <w:p w14:paraId="2E6DA2D3" w14:textId="77777777" w:rsidR="00D951BD" w:rsidRDefault="00000000">
      <w:pPr>
        <w:ind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 </w:t>
      </w:r>
    </w:p>
    <w:p w14:paraId="3F0C46E1" w14:textId="77777777" w:rsidR="00D951BD"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14:paraId="5507F17D" w14:textId="77777777" w:rsidR="00D951BD" w:rsidRDefault="00000000">
      <w:pPr>
        <w:jc w:val="both"/>
        <w:rPr>
          <w:rFonts w:ascii="Times New Roman" w:eastAsia="Times New Roman" w:hAnsi="Times New Roman" w:cs="Times New Roman"/>
          <w:b/>
          <w:bCs/>
          <w:sz w:val="24"/>
          <w:szCs w:val="24"/>
          <w:shd w:val="clear" w:color="auto" w:fill="D9EAD3"/>
        </w:rPr>
      </w:pPr>
      <w:r>
        <w:rPr>
          <w:rFonts w:ascii="Times New Roman" w:eastAsia="Times New Roman" w:hAnsi="Times New Roman" w:cs="Times New Roman"/>
          <w:b/>
          <w:bCs/>
          <w:sz w:val="24"/>
          <w:szCs w:val="24"/>
          <w:shd w:val="clear" w:color="auto" w:fill="D9EAD3"/>
        </w:rPr>
        <w:t>Research Paper</w:t>
      </w:r>
    </w:p>
    <w:p w14:paraId="2CC83AC1"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Once you choose your </w:t>
      </w:r>
      <w:r>
        <w:rPr>
          <w:rFonts w:ascii="Times New Roman" w:eastAsia="Times New Roman" w:hAnsi="Times New Roman" w:cs="Times New Roman"/>
          <w:b/>
          <w:bCs/>
        </w:rPr>
        <w:t>main subject/week</w:t>
      </w:r>
      <w:r>
        <w:rPr>
          <w:rFonts w:ascii="Times New Roman" w:eastAsia="Times New Roman" w:hAnsi="Times New Roman" w:cs="Times New Roman"/>
        </w:rPr>
        <w:t xml:space="preserve"> from the syllabus of the International Relations of the Middle East you should decide on a unique </w:t>
      </w:r>
      <w:r>
        <w:rPr>
          <w:rFonts w:ascii="Times New Roman" w:eastAsia="Times New Roman" w:hAnsi="Times New Roman" w:cs="Times New Roman"/>
          <w:b/>
          <w:bCs/>
        </w:rPr>
        <w:t>subtopic</w:t>
      </w:r>
      <w:r>
        <w:rPr>
          <w:rFonts w:ascii="Times New Roman" w:eastAsia="Times New Roman" w:hAnsi="Times New Roman" w:cs="Times New Roman"/>
        </w:rPr>
        <w:t xml:space="preserve"> of yours that is related to the chosen subject. </w:t>
      </w:r>
    </w:p>
    <w:p w14:paraId="1882B8A3"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9F1F35E"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Word limit for the research paper is </w:t>
      </w:r>
      <w:r>
        <w:rPr>
          <w:rFonts w:ascii="Times New Roman" w:eastAsia="Times New Roman" w:hAnsi="Times New Roman" w:cs="Times New Roman"/>
          <w:b/>
          <w:bCs/>
        </w:rPr>
        <w:t>1000 words (-250, +500)</w:t>
      </w:r>
      <w:r>
        <w:rPr>
          <w:rFonts w:ascii="Times New Roman" w:eastAsia="Times New Roman" w:hAnsi="Times New Roman" w:cs="Times New Roman"/>
        </w:rPr>
        <w:t>. Additionally, a 100-word abstract and a bibliography are required. You should add at least 10 sources to the bibliography which must include at least 5 of them from required readings on the syllabus (you should use outside sources as well).</w:t>
      </w:r>
    </w:p>
    <w:p w14:paraId="02125929"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4F31E9D"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b/>
          <w:bCs/>
        </w:rPr>
        <w:t>Academic writing rules</w:t>
      </w:r>
      <w:r>
        <w:rPr>
          <w:rFonts w:ascii="Times New Roman" w:eastAsia="Times New Roman" w:hAnsi="Times New Roman" w:cs="Times New Roman"/>
        </w:rPr>
        <w:t xml:space="preserve"> must be followed strictly. Please follow the guidelines of the Journal of International Relations for academic writing and referencing.</w:t>
      </w:r>
    </w:p>
    <w:p w14:paraId="4DEA20AA" w14:textId="77777777" w:rsidR="00D951BD" w:rsidRDefault="00000000">
      <w:pPr>
        <w:jc w:val="both"/>
        <w:rPr>
          <w:rFonts w:ascii="Times New Roman" w:eastAsia="Times New Roman" w:hAnsi="Times New Roman" w:cs="Times New Roman"/>
          <w:color w:val="800080"/>
          <w:u w:val="single"/>
        </w:rPr>
      </w:pPr>
      <w:r>
        <w:rPr>
          <w:rFonts w:ascii="Times New Roman" w:eastAsia="Times New Roman" w:hAnsi="Times New Roman" w:cs="Times New Roman"/>
        </w:rPr>
        <w:lastRenderedPageBreak/>
        <w:t xml:space="preserve">The link to the guidelines: </w:t>
      </w:r>
      <w:hyperlink r:id="rId11">
        <w:r>
          <w:rPr>
            <w:rFonts w:ascii="Times New Roman" w:eastAsia="Times New Roman" w:hAnsi="Times New Roman" w:cs="Times New Roman"/>
            <w:color w:val="800080"/>
            <w:u w:val="single"/>
          </w:rPr>
          <w:t>https://www.ir-journal.com/for-authors/guidelines</w:t>
        </w:r>
      </w:hyperlink>
    </w:p>
    <w:p w14:paraId="29F3EA02"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0D6516D0"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A28D2FF" w14:textId="77777777" w:rsidR="00D951BD" w:rsidRDefault="00000000">
      <w:pPr>
        <w:jc w:val="both"/>
        <w:rPr>
          <w:rFonts w:ascii="Times New Roman" w:eastAsia="Times New Roman" w:hAnsi="Times New Roman" w:cs="Times New Roman"/>
          <w:b/>
          <w:bCs/>
          <w:sz w:val="24"/>
          <w:szCs w:val="24"/>
          <w:shd w:val="clear" w:color="auto" w:fill="D9EAD3"/>
        </w:rPr>
      </w:pPr>
      <w:r w:rsidRPr="000A71D3">
        <w:rPr>
          <w:rFonts w:ascii="Times New Roman" w:eastAsia="Times New Roman" w:hAnsi="Times New Roman" w:cs="Times New Roman"/>
          <w:b/>
          <w:bCs/>
          <w:sz w:val="24"/>
          <w:szCs w:val="24"/>
          <w:shd w:val="clear" w:color="auto" w:fill="D9EAD3"/>
        </w:rPr>
        <w:t>Presentation Video</w:t>
      </w:r>
    </w:p>
    <w:p w14:paraId="0B336BA3"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Each student should submit a </w:t>
      </w:r>
      <w:r>
        <w:rPr>
          <w:rFonts w:ascii="Times New Roman" w:eastAsia="Times New Roman" w:hAnsi="Times New Roman" w:cs="Times New Roman"/>
          <w:b/>
          <w:bCs/>
        </w:rPr>
        <w:t xml:space="preserve">5-7 </w:t>
      </w:r>
      <w:proofErr w:type="gramStart"/>
      <w:r>
        <w:rPr>
          <w:rFonts w:ascii="Times New Roman" w:eastAsia="Times New Roman" w:hAnsi="Times New Roman" w:cs="Times New Roman"/>
          <w:b/>
          <w:bCs/>
        </w:rPr>
        <w:t>minutes</w:t>
      </w:r>
      <w:proofErr w:type="gramEnd"/>
      <w:r>
        <w:rPr>
          <w:rFonts w:ascii="Times New Roman" w:eastAsia="Times New Roman" w:hAnsi="Times New Roman" w:cs="Times New Roman"/>
          <w:b/>
          <w:bCs/>
        </w:rPr>
        <w:t xml:space="preserve"> video recording</w:t>
      </w:r>
      <w:r>
        <w:rPr>
          <w:rFonts w:ascii="Times New Roman" w:eastAsia="Times New Roman" w:hAnsi="Times New Roman" w:cs="Times New Roman"/>
        </w:rPr>
        <w:t xml:space="preserve"> where you present your research. No PowerPoint is </w:t>
      </w:r>
      <w:proofErr w:type="gramStart"/>
      <w:r>
        <w:rPr>
          <w:rFonts w:ascii="Times New Roman" w:eastAsia="Times New Roman" w:hAnsi="Times New Roman" w:cs="Times New Roman"/>
        </w:rPr>
        <w:t>required,</w:t>
      </w:r>
      <w:proofErr w:type="gramEnd"/>
      <w:r>
        <w:rPr>
          <w:rFonts w:ascii="Times New Roman" w:eastAsia="Times New Roman" w:hAnsi="Times New Roman" w:cs="Times New Roman"/>
        </w:rPr>
        <w:t xml:space="preserve"> a </w:t>
      </w:r>
      <w:r>
        <w:rPr>
          <w:rFonts w:ascii="Times New Roman" w:eastAsia="Times New Roman" w:hAnsi="Times New Roman" w:cs="Times New Roman"/>
          <w:b/>
          <w:bCs/>
        </w:rPr>
        <w:t xml:space="preserve">verbal </w:t>
      </w:r>
      <w:r>
        <w:rPr>
          <w:rFonts w:ascii="Times New Roman" w:eastAsia="Times New Roman" w:hAnsi="Times New Roman" w:cs="Times New Roman"/>
        </w:rPr>
        <w:t>presentation is adequate.</w:t>
      </w:r>
    </w:p>
    <w:p w14:paraId="4EB50E60"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12F561A1"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6AAF0E6A" w14:textId="77777777" w:rsidR="00D951BD" w:rsidRPr="000A71D3" w:rsidRDefault="00000000">
      <w:pPr>
        <w:jc w:val="both"/>
        <w:rPr>
          <w:rFonts w:ascii="Times New Roman" w:eastAsia="Times New Roman" w:hAnsi="Times New Roman" w:cs="Times New Roman"/>
          <w:b/>
          <w:bCs/>
          <w:sz w:val="24"/>
          <w:szCs w:val="24"/>
          <w:shd w:val="clear" w:color="auto" w:fill="D9EAD3"/>
        </w:rPr>
      </w:pPr>
      <w:r w:rsidRPr="000A71D3">
        <w:rPr>
          <w:rFonts w:ascii="Times New Roman" w:eastAsia="Times New Roman" w:hAnsi="Times New Roman" w:cs="Times New Roman"/>
          <w:b/>
          <w:bCs/>
          <w:sz w:val="24"/>
          <w:szCs w:val="24"/>
          <w:shd w:val="clear" w:color="auto" w:fill="D9EAD3"/>
        </w:rPr>
        <w:t>Submission of the papers and video recordings</w:t>
      </w:r>
    </w:p>
    <w:p w14:paraId="58C8E9CC" w14:textId="77777777" w:rsidR="00D951BD" w:rsidRDefault="00000000">
      <w:pPr>
        <w:jc w:val="both"/>
        <w:rPr>
          <w:rFonts w:ascii="Times New Roman" w:eastAsia="Times New Roman" w:hAnsi="Times New Roman" w:cs="Times New Roman"/>
        </w:rPr>
      </w:pPr>
      <w:r w:rsidRPr="000A71D3">
        <w:rPr>
          <w:rFonts w:ascii="Times New Roman" w:eastAsia="Times New Roman" w:hAnsi="Times New Roman" w:cs="Times New Roman"/>
        </w:rPr>
        <w:t>Please send your research papers and video recordings to the teaching assistant Utku’s e-mail address</w:t>
      </w:r>
      <w:r>
        <w:rPr>
          <w:rFonts w:ascii="Times New Roman" w:eastAsia="Times New Roman" w:hAnsi="Times New Roman" w:cs="Times New Roman"/>
        </w:rPr>
        <w:t xml:space="preserve"> {</w:t>
      </w:r>
      <w:r>
        <w:rPr>
          <w:rFonts w:ascii="Times New Roman" w:eastAsia="Times New Roman" w:hAnsi="Times New Roman" w:cs="Times New Roman"/>
          <w:b/>
          <w:bCs/>
        </w:rPr>
        <w:t>u.baran@etu.edu.tr}</w:t>
      </w:r>
      <w:r>
        <w:rPr>
          <w:rFonts w:ascii="Times New Roman" w:eastAsia="Times New Roman" w:hAnsi="Times New Roman" w:cs="Times New Roman"/>
        </w:rPr>
        <w:t xml:space="preserve"> before the deadline.</w:t>
      </w:r>
    </w:p>
    <w:p w14:paraId="2EBE2987"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04BE188"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Please edit your file names in </w:t>
      </w:r>
      <w:proofErr w:type="spellStart"/>
      <w:r>
        <w:rPr>
          <w:rFonts w:ascii="Times New Roman" w:eastAsia="Times New Roman" w:hAnsi="Times New Roman" w:cs="Times New Roman"/>
          <w:b/>
          <w:bCs/>
        </w:rPr>
        <w:t>Surname_Name_Title</w:t>
      </w:r>
      <w:proofErr w:type="spellEnd"/>
      <w:r>
        <w:rPr>
          <w:rFonts w:ascii="Times New Roman" w:eastAsia="Times New Roman" w:hAnsi="Times New Roman" w:cs="Times New Roman"/>
        </w:rPr>
        <w:t xml:space="preserve"> format.</w:t>
      </w:r>
    </w:p>
    <w:p w14:paraId="0A17EECF"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3312ADA" w14:textId="77777777" w:rsidR="00D951B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045DB1E" w14:textId="77777777" w:rsidR="00D951BD" w:rsidRDefault="00D951BD">
      <w:pPr>
        <w:jc w:val="center"/>
        <w:rPr>
          <w:rFonts w:ascii="Times New Roman" w:eastAsia="Times New Roman" w:hAnsi="Times New Roman" w:cs="Times New Roman"/>
          <w:b/>
          <w:bCs/>
          <w:color w:val="222222"/>
          <w:sz w:val="24"/>
          <w:szCs w:val="24"/>
          <w:shd w:val="clear" w:color="auto" w:fill="EFEFEF"/>
        </w:rPr>
      </w:pPr>
    </w:p>
    <w:p w14:paraId="32F3D348" w14:textId="77777777" w:rsidR="00D951BD" w:rsidRDefault="00D951BD">
      <w:pPr>
        <w:jc w:val="center"/>
        <w:rPr>
          <w:rFonts w:ascii="Times New Roman" w:eastAsia="Times New Roman" w:hAnsi="Times New Roman" w:cs="Times New Roman"/>
          <w:b/>
          <w:bCs/>
          <w:color w:val="222222"/>
          <w:sz w:val="24"/>
          <w:szCs w:val="24"/>
          <w:shd w:val="clear" w:color="auto" w:fill="EFEFEF"/>
        </w:rPr>
      </w:pPr>
    </w:p>
    <w:p w14:paraId="4EFD52A3" w14:textId="77777777" w:rsidR="00D951BD" w:rsidRDefault="00D951BD">
      <w:pPr>
        <w:jc w:val="center"/>
        <w:rPr>
          <w:rFonts w:ascii="Times New Roman" w:eastAsia="Times New Roman" w:hAnsi="Times New Roman" w:cs="Times New Roman"/>
          <w:b/>
          <w:bCs/>
          <w:color w:val="222222"/>
          <w:sz w:val="24"/>
          <w:szCs w:val="24"/>
          <w:shd w:val="clear" w:color="auto" w:fill="EFEFEF"/>
        </w:rPr>
      </w:pPr>
    </w:p>
    <w:p w14:paraId="67581D1E" w14:textId="77777777" w:rsidR="00D951BD" w:rsidRDefault="00D951BD">
      <w:pPr>
        <w:jc w:val="center"/>
        <w:rPr>
          <w:rFonts w:ascii="Times New Roman" w:eastAsia="Times New Roman" w:hAnsi="Times New Roman" w:cs="Times New Roman"/>
          <w:b/>
          <w:bCs/>
          <w:color w:val="222222"/>
          <w:sz w:val="24"/>
          <w:szCs w:val="24"/>
          <w:shd w:val="clear" w:color="auto" w:fill="EFEFEF"/>
        </w:rPr>
      </w:pPr>
    </w:p>
    <w:p w14:paraId="3A61E2F0" w14:textId="77777777" w:rsidR="00D951BD" w:rsidRDefault="00D951BD">
      <w:pPr>
        <w:jc w:val="center"/>
        <w:rPr>
          <w:rFonts w:ascii="Times New Roman" w:eastAsia="Times New Roman" w:hAnsi="Times New Roman" w:cs="Times New Roman"/>
          <w:b/>
          <w:bCs/>
          <w:color w:val="222222"/>
          <w:sz w:val="24"/>
          <w:szCs w:val="24"/>
          <w:shd w:val="clear" w:color="auto" w:fill="EFEFEF"/>
        </w:rPr>
      </w:pPr>
    </w:p>
    <w:p w14:paraId="584BDF43" w14:textId="77777777" w:rsidR="00D951BD" w:rsidRDefault="00D951BD">
      <w:pPr>
        <w:jc w:val="center"/>
        <w:rPr>
          <w:rFonts w:ascii="Times New Roman" w:eastAsia="Times New Roman" w:hAnsi="Times New Roman" w:cs="Times New Roman"/>
          <w:b/>
          <w:bCs/>
          <w:color w:val="222222"/>
          <w:sz w:val="24"/>
          <w:szCs w:val="24"/>
          <w:shd w:val="clear" w:color="auto" w:fill="EFEFEF"/>
        </w:rPr>
      </w:pPr>
    </w:p>
    <w:p w14:paraId="71C0F184" w14:textId="77777777" w:rsidR="00D951BD" w:rsidRDefault="00000000">
      <w:pPr>
        <w:jc w:val="center"/>
        <w:rPr>
          <w:rFonts w:ascii="Times New Roman" w:eastAsia="Times New Roman" w:hAnsi="Times New Roman" w:cs="Times New Roman"/>
          <w:b/>
          <w:bCs/>
          <w:color w:val="222222"/>
          <w:sz w:val="24"/>
          <w:szCs w:val="24"/>
          <w:shd w:val="clear" w:color="auto" w:fill="EFEFEF"/>
        </w:rPr>
      </w:pPr>
      <w:r>
        <w:rPr>
          <w:rFonts w:ascii="Times New Roman" w:eastAsia="Times New Roman" w:hAnsi="Times New Roman" w:cs="Times New Roman"/>
          <w:b/>
          <w:bCs/>
          <w:color w:val="222222"/>
          <w:sz w:val="24"/>
          <w:szCs w:val="24"/>
          <w:shd w:val="clear" w:color="auto" w:fill="EFEFEF"/>
        </w:rPr>
        <w:t xml:space="preserve"> </w:t>
      </w:r>
    </w:p>
    <w:p w14:paraId="11FE4F8A" w14:textId="77777777" w:rsidR="00D951BD" w:rsidRDefault="00000000">
      <w:pPr>
        <w:rPr>
          <w:rFonts w:ascii="Times New Roman" w:eastAsia="Times New Roman" w:hAnsi="Times New Roman" w:cs="Times New Roman"/>
          <w:b/>
          <w:bCs/>
          <w:color w:val="222222"/>
          <w:sz w:val="24"/>
          <w:szCs w:val="24"/>
          <w:shd w:val="clear" w:color="auto" w:fill="EFEFEF"/>
        </w:rPr>
      </w:pPr>
      <w:r>
        <w:rPr>
          <w:rFonts w:ascii="Times New Roman" w:eastAsia="Times New Roman" w:hAnsi="Times New Roman" w:cs="Times New Roman"/>
          <w:b/>
          <w:bCs/>
          <w:color w:val="222222"/>
          <w:sz w:val="24"/>
          <w:szCs w:val="24"/>
          <w:shd w:val="clear" w:color="auto" w:fill="EFEFEF"/>
        </w:rPr>
        <w:t xml:space="preserve"> </w:t>
      </w:r>
    </w:p>
    <w:p w14:paraId="7B48A62C" w14:textId="3CF1CDDF" w:rsidR="00D951BD" w:rsidRDefault="00D951BD">
      <w:pPr>
        <w:jc w:val="both"/>
        <w:rPr>
          <w:rFonts w:ascii="Times New Roman" w:eastAsia="Times New Roman" w:hAnsi="Times New Roman" w:cs="Times New Roman"/>
          <w:color w:val="333333"/>
          <w:highlight w:val="white"/>
        </w:rPr>
      </w:pPr>
    </w:p>
    <w:p w14:paraId="2D1BD3AE"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1F94910E"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218D8D92"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4E7CD874"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2688BFBF" w14:textId="2373B5E9" w:rsidR="00D951BD" w:rsidRDefault="00D951BD">
      <w:pPr>
        <w:jc w:val="both"/>
        <w:rPr>
          <w:rFonts w:ascii="Times New Roman" w:eastAsia="Times New Roman" w:hAnsi="Times New Roman" w:cs="Times New Roman"/>
          <w:color w:val="333333"/>
          <w:highlight w:val="white"/>
        </w:rPr>
      </w:pPr>
    </w:p>
    <w:p w14:paraId="6730C18D"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547E1CC8"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05230757"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2BDD508D" w14:textId="29167394" w:rsidR="00D951BD" w:rsidRDefault="00D951BD">
      <w:pPr>
        <w:jc w:val="both"/>
        <w:rPr>
          <w:rFonts w:ascii="Times New Roman" w:eastAsia="Times New Roman" w:hAnsi="Times New Roman" w:cs="Times New Roman"/>
          <w:color w:val="333333"/>
          <w:highlight w:val="white"/>
        </w:rPr>
      </w:pPr>
    </w:p>
    <w:p w14:paraId="6467F0AF"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02896403"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6BCE72EC"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6A1BAB8A" w14:textId="77777777" w:rsidR="00D951BD" w:rsidRDefault="00000000">
      <w:pPr>
        <w:jc w:val="both"/>
        <w:rPr>
          <w:rFonts w:ascii="Times New Roman" w:eastAsia="Times New Roman" w:hAnsi="Times New Roman" w:cs="Times New Roman"/>
          <w:color w:val="333333"/>
          <w:highlight w:val="white"/>
        </w:rPr>
      </w:pPr>
      <w:r>
        <w:rPr>
          <w:rFonts w:ascii="Times New Roman" w:eastAsia="Times New Roman" w:hAnsi="Times New Roman" w:cs="Times New Roman"/>
          <w:color w:val="333333"/>
          <w:highlight w:val="white"/>
        </w:rPr>
        <w:t xml:space="preserve"> </w:t>
      </w:r>
    </w:p>
    <w:p w14:paraId="4290BBCD" w14:textId="5D5CB6A0" w:rsidR="00D951BD" w:rsidRDefault="00D951BD">
      <w:pPr>
        <w:jc w:val="center"/>
        <w:rPr>
          <w:rFonts w:ascii="Times New Roman" w:eastAsia="Times New Roman" w:hAnsi="Times New Roman" w:cs="Times New Roman"/>
          <w:color w:val="333333"/>
          <w:highlight w:val="white"/>
        </w:rPr>
      </w:pPr>
    </w:p>
    <w:p w14:paraId="45818C2D" w14:textId="77777777" w:rsidR="00D951B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15EB78FC" w14:textId="77777777" w:rsidR="00D951B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058D1ED6" w14:textId="77777777" w:rsidR="00D951B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11E4AF91" w14:textId="48D70B5D" w:rsidR="00D951B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018C3B46" w14:textId="2DD06E4C" w:rsidR="00D951BD" w:rsidRPr="000A71D3" w:rsidRDefault="00000000" w:rsidP="000A71D3">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sectPr w:rsidR="00D951BD" w:rsidRPr="000A71D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22F9859-6367-9841-9B71-ED1BEF6ACEEC}"/>
    <w:embedItalic r:id="rId2" w:fontKey="{B2B2FC20-8611-4041-835C-BFEA299DAE3D}"/>
  </w:font>
  <w:font w:name="Times New Roman">
    <w:panose1 w:val="02020603050405020304"/>
    <w:charset w:val="A2"/>
    <w:family w:val="roman"/>
    <w:pitch w:val="variable"/>
    <w:sig w:usb0="E0002EFF" w:usb1="C000785B" w:usb2="00000009" w:usb3="00000000" w:csb0="000001FF" w:csb1="00000000"/>
    <w:embedRegular r:id="rId3" w:fontKey="{627FDB42-B8A1-1D4D-848A-76E21FE7809C}"/>
    <w:embedBold r:id="rId4" w:fontKey="{393804D0-6065-5343-B388-9FF8B5296C81}"/>
    <w:embedItalic r:id="rId5" w:fontKey="{EAC15BB8-DC78-2C45-B8E2-9D3306C405B0}"/>
  </w:font>
  <w:font w:name="Calibri">
    <w:panose1 w:val="020F0502020204030204"/>
    <w:charset w:val="00"/>
    <w:family w:val="swiss"/>
    <w:pitch w:val="variable"/>
    <w:sig w:usb0="E0002AFF" w:usb1="C000247B" w:usb2="00000009" w:usb3="00000000" w:csb0="000001FF" w:csb1="00000000"/>
    <w:embedRegular r:id="rId6" w:fontKey="{03DEAF61-DFEC-0E4F-817A-597F5BA722F0}"/>
  </w:font>
  <w:font w:name="Cambria">
    <w:panose1 w:val="02040503050406030204"/>
    <w:charset w:val="00"/>
    <w:family w:val="roman"/>
    <w:pitch w:val="variable"/>
    <w:sig w:usb0="E00002FF" w:usb1="400004FF" w:usb2="00000000" w:usb3="00000000" w:csb0="0000019F" w:csb1="00000000"/>
    <w:embedRegular r:id="rId7" w:fontKey="{25AFB8F8-0E46-3B49-89CA-50D657D61E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1BD"/>
    <w:rsid w:val="000A71D3"/>
    <w:rsid w:val="00AE13D1"/>
    <w:rsid w:val="00D951BD"/>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73DD9462"/>
  <w15:docId w15:val="{05C25BDB-9974-634B-B9AA-2AFA78AE6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outledge.com/search?author=Martin%20Bunto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routledge.com/search?author=William%20L.%20Cleveland"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80/13530199108705538" TargetMode="External"/><Relationship Id="rId11" Type="http://schemas.openxmlformats.org/officeDocument/2006/relationships/hyperlink" Target="https://www.ir-journal.com/for-authors/guidelines" TargetMode="External"/><Relationship Id="rId5" Type="http://schemas.openxmlformats.org/officeDocument/2006/relationships/hyperlink" Target="https://doi.org/10.1080/13530199108705538" TargetMode="External"/><Relationship Id="rId10" Type="http://schemas.openxmlformats.org/officeDocument/2006/relationships/hyperlink" Target="http://www.jstor.org/stable/resrep04283" TargetMode="External"/><Relationship Id="rId4" Type="http://schemas.openxmlformats.org/officeDocument/2006/relationships/hyperlink" Target="https://tobbetu-edu-tr.zoom.us/meeting/register/fJowSbUMRP2ApixhHbb6_A" TargetMode="External"/><Relationship Id="rId9" Type="http://schemas.openxmlformats.org/officeDocument/2006/relationships/hyperlink" Target="http://www.jstor.org/stable/resrep042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1770</Words>
  <Characters>10091</Characters>
  <Application>Microsoft Office Word</Application>
  <DocSecurity>0</DocSecurity>
  <Lines>84</Lines>
  <Paragraphs>23</Paragraphs>
  <ScaleCrop>false</ScaleCrop>
  <Company/>
  <LinksUpToDate>false</LinksUpToDate>
  <CharactersWithSpaces>11838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Pinti Office 365</cp:lastModifiedBy>
  <cp:revision>2</cp:revision>
  <dcterms:created xsi:type="dcterms:W3CDTF">2026-05-07T22:16:00Z</dcterms:created>
  <dcterms:modified xsi:type="dcterms:W3CDTF">2026-05-07T22:18:00Z</dcterms:modified>
</cp:coreProperties>
</file>